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bookmarkStart w:id="0" w:name="_title_8"/>
      <w:bookmarkStart w:id="1" w:name="_ref_584780"/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Приложение № 7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к Учетной политике</w:t>
      </w:r>
    </w:p>
    <w:p w:rsidR="00CF3ADE" w:rsidRPr="00BA14A8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</w:pPr>
      <w:r w:rsidRPr="00BA14A8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ru-RU"/>
        </w:rPr>
        <w:t>для целей бюджетного учета</w:t>
      </w:r>
    </w:p>
    <w:p w:rsidR="00CF3ADE" w:rsidRPr="00CF3ADE" w:rsidRDefault="00CF3ADE" w:rsidP="00CF3ADE">
      <w:pPr>
        <w:keepNext/>
        <w:keepLines/>
        <w:spacing w:before="120" w:after="30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CF3ADE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CF3ADE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 xml:space="preserve">Положение о комиссии </w:t>
      </w:r>
    </w:p>
    <w:p w:rsidR="004D198C" w:rsidRDefault="004D198C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4D198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 поступлению и выбытию активов</w:t>
      </w:r>
      <w:bookmarkEnd w:id="0"/>
      <w:bookmarkEnd w:id="1"/>
    </w:p>
    <w:p w:rsidR="00CF3ADE" w:rsidRPr="004D198C" w:rsidRDefault="00CF3ADE" w:rsidP="004D198C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</w:p>
    <w:p w:rsidR="004D198C" w:rsidRPr="00CF3ADE" w:rsidRDefault="004D198C" w:rsidP="00A97A43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ref_1627500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2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ref_162750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поступлению и выбытию активов (далее - комиссия) утверждается ежегодно отдельным распорядительным актом руководителя.</w:t>
      </w:r>
      <w:bookmarkEnd w:id="3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ref_162750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4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ref_162750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квартал.</w:t>
      </w:r>
      <w:bookmarkEnd w:id="5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_ref_1627504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рассмотрения комиссией представленных ей документов не должен превышать 14 календарных дней.</w:t>
      </w:r>
      <w:bookmarkEnd w:id="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ref_162750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комиссии правомочно при наличии не менее 2/3 ее состава.</w:t>
      </w:r>
      <w:bookmarkEnd w:id="7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_162750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ref_162750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9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ref_162750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0"/>
    </w:p>
    <w:p w:rsidR="004D198C" w:rsidRPr="00A97A43" w:rsidRDefault="004D198C" w:rsidP="00A97A43">
      <w:pPr>
        <w:pStyle w:val="1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bookmarkStart w:id="11" w:name="_ref_1636341"/>
      <w:r w:rsidRPr="00A97A43">
        <w:rPr>
          <w:sz w:val="28"/>
        </w:rPr>
        <w:t>Принятие решений по поступлению активов</w:t>
      </w:r>
      <w:bookmarkEnd w:id="11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ref_163634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поступления активов комиссия принимает решения по следующим вопросам:</w:t>
      </w:r>
      <w:bookmarkEnd w:id="12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принятие активов в случаях, прямо предусмотренных внутренними актами организации;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категории нефинансовых активов (основные средства, нематериальные активы, непроизведенные активы или материальные запасы), </w:t>
      </w:r>
      <w:proofErr w:type="gram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относится поступившее имущество;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первоначальной стоимости и метода амортизации поступивших объектов нефинансовых активов;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величин оценочных резервов в случаях, установленных нормативными актами и (или) Учетной политикой;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ref_163634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3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бюджетному учету.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Справедливая стоимость имущества определяется комиссией по поступлению и выбытию активов методом рыночных цен, а при невозможности использовать его - методом амортизированной стоимости замещения.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ref_1636345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достройки, реконструкции, модернизации объектов основных сре</w:t>
      </w:r>
      <w:proofErr w:type="gramStart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оизводится увеличение их первоначальной стоимости на сумму сформированных капитальных вложений в эти объекты.</w:t>
      </w:r>
      <w:bookmarkEnd w:id="14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6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Частичная ликвидация объекта основных сре</w:t>
      </w:r>
      <w:proofErr w:type="gram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7" w:history="1">
        <w:r w:rsidRPr="00CF3AD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0504103)</w:t>
        </w:r>
      </w:hyperlink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ref_1636346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нефинансовых активов комиссия оформляет следующими первичными учетными документами:</w:t>
      </w:r>
      <w:bookmarkEnd w:id="15"/>
    </w:p>
    <w:p w:rsidR="006A3684" w:rsidRPr="008F6B02" w:rsidRDefault="006A3684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Решением о признании объектов нефинансовых активов (ф. 051044</w:t>
      </w:r>
      <w:r w:rsid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6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D198C" w:rsidRPr="008F6B02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 приеме-передаче объектов нефинансовых активов </w:t>
      </w:r>
      <w:hyperlink r:id="rId8" w:history="1">
        <w:r w:rsidRPr="008F6B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</w:t>
        </w:r>
        <w:r w:rsidR="00A40DC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10448</w:t>
        </w:r>
        <w:r w:rsidRPr="008F6B0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Pr="008F6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8F6B02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Приходным ордером на приемку материальных ценностей (нефинансовых активов) </w:t>
      </w:r>
      <w:hyperlink r:id="rId9" w:history="1">
        <w:r w:rsidRPr="00564E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0504207)</w:t>
        </w:r>
      </w:hyperlink>
      <w:r w:rsidRPr="00564E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CF3ADE" w:rsidRDefault="003F4E1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приема-передачи объектов, полученных в личное пользование</w:t>
      </w:r>
      <w:r w:rsidR="00AD727A"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0510434)</w:t>
      </w:r>
      <w:r w:rsidR="004D198C" w:rsidRPr="00252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ref_163634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_ref_163634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политикой.</w:t>
      </w:r>
      <w:bookmarkEnd w:id="17"/>
    </w:p>
    <w:p w:rsidR="004D198C" w:rsidRPr="00A97A43" w:rsidRDefault="004D198C" w:rsidP="00A97A43">
      <w:pPr>
        <w:pStyle w:val="1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bookmarkStart w:id="18" w:name="_ref_1645186"/>
      <w:r w:rsidRPr="00A97A43">
        <w:rPr>
          <w:sz w:val="28"/>
        </w:rPr>
        <w:lastRenderedPageBreak/>
        <w:t>Принятие решений по выбытию (списанию) активов и списанию задолженности неплатежеспособных дебиторов</w:t>
      </w:r>
      <w:bookmarkEnd w:id="1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ref_164518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выбытия (списания) активов и задолженности комиссия принимает решения по следующим вопросам:</w:t>
      </w:r>
      <w:bookmarkEnd w:id="19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выбытии (списании) нефинансовых активов (в том числе объектов движимого имущества стоимостью до 10 000 руб. включительно, учитываемых на 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21);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частичной ликвидации (</w:t>
      </w:r>
      <w:proofErr w:type="spell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разукомплектации</w:t>
      </w:r>
      <w:proofErr w:type="spell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основных средств и об определении стоимости выбывающей части актива при его частичной ликвидации;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пригодности дальнейшего использования имущества, возможности и эффективности его восстановления;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ref_164518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выбытии имущества принимается, если оно:</w:t>
      </w:r>
      <w:bookmarkEnd w:id="20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</w:t>
      </w:r>
      <w:proofErr w:type="gram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невозможно выяснить его местонахождение;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  <w:proofErr w:type="gramEnd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законодательством РФ.</w:t>
      </w:r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ref_164518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списании имущества принимается комиссией после проведения следующих мероприятий:</w:t>
      </w:r>
      <w:bookmarkEnd w:id="21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  <w:proofErr w:type="gramEnd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документов, необходимых для принятия решения о списании имущества.</w:t>
      </w:r>
    </w:p>
    <w:p w:rsidR="004D198C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ref_164519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Выбытие (списание) нефинансовых активов оформляется следующими документами:</w:t>
      </w:r>
      <w:bookmarkEnd w:id="22"/>
    </w:p>
    <w:p w:rsidR="00DE0E26" w:rsidRPr="00DE0E26" w:rsidRDefault="00DE0E26" w:rsidP="00DE0E26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Решением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прекращении 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объектов нефинансовых активов (ф. 051044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E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D198C" w:rsidRPr="00D645EA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объектов нефинансовых активов (кроме транспортных средств) </w:t>
      </w:r>
      <w:hyperlink r:id="rId10" w:history="1"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</w:t>
        </w:r>
        <w:r w:rsidR="006776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10454</w:t>
        </w:r>
        <w:r w:rsidRPr="00D645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98C" w:rsidRPr="00A742E5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транспортного </w:t>
      </w:r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hyperlink r:id="rId11" w:history="1"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</w:t>
        </w:r>
        <w:r w:rsidR="006776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10456</w:t>
        </w:r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1D7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 о списании материальных запасов </w:t>
      </w:r>
      <w:hyperlink r:id="rId12" w:history="1"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(ф. 050</w:t>
        </w:r>
        <w:r w:rsidR="0067761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10460</w:t>
        </w:r>
        <w:r w:rsidRPr="00A742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="00E86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E861D7" w:rsidRDefault="00C445D6" w:rsidP="00E861D7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61D7" w:rsidRPr="001D2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приема-передачи объектов, полученных в личное пользование</w:t>
      </w:r>
      <w:r w:rsidR="001D2760" w:rsidRPr="001D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0510434)</w:t>
      </w:r>
      <w:r w:rsidR="00A40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DCC" w:rsidRDefault="00A40DCC" w:rsidP="00E861D7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Накладной на отпуск ма</w:t>
      </w:r>
      <w:r w:rsid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териальных ценностей на сторону;</w:t>
      </w:r>
    </w:p>
    <w:p w:rsidR="00212980" w:rsidRDefault="009A32A4" w:rsidP="009A32A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3" w:name="_ref_16451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отражения в бухгалтерском учете учреждения выбытия указанных материальных ценностей с балансового учета, в том числе и материальных запасов, выдаваемых на хозяйственные нужды (например, моющи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 для уборки помещений, канцелярских товаров, индивидуальных рационов питания и т.п.) применять в</w:t>
      </w:r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едомость выдачи материальных ценностей на нужды учреждения </w:t>
      </w:r>
      <w:r w:rsidRPr="00F07C33">
        <w:rPr>
          <w:rFonts w:ascii="Times New Roman" w:eastAsia="Times New Roman" w:hAnsi="Times New Roman" w:cs="Times New Roman"/>
          <w:sz w:val="28"/>
          <w:szCs w:val="28"/>
          <w:lang w:eastAsia="ru-RU"/>
        </w:rPr>
        <w:t>(ф. </w:t>
      </w:r>
      <w:hyperlink r:id="rId13" w:anchor="/document/70951956/entry/2140" w:history="1">
        <w:r w:rsidRPr="00F07C3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0504210</w:t>
        </w:r>
      </w:hyperlink>
      <w:r w:rsidRPr="00F07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качестве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списании материальных запасов </w:t>
      </w:r>
      <w:hyperlink r:id="rId14" w:history="1">
        <w:r w:rsidRPr="009A32A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(ф. 05010460)</w:t>
        </w:r>
      </w:hyperlink>
      <w:r w:rsidRPr="009A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D198C" w:rsidRPr="00CF3ADE" w:rsidRDefault="004D198C" w:rsidP="009A32A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GoBack"/>
      <w:bookmarkEnd w:id="24"/>
      <w:r w:rsidRPr="009A3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Оформленный комиссией акт о списании имущества утверждает</w:t>
      </w:r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руководителем.</w:t>
      </w:r>
      <w:bookmarkEnd w:id="23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_ref_164519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5"/>
    </w:p>
    <w:p w:rsidR="004D198C" w:rsidRPr="00CF3ADE" w:rsidRDefault="004D198C" w:rsidP="00A97A43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4D198C" w:rsidRPr="00CF3ADE" w:rsidRDefault="004D198C" w:rsidP="00A97A43">
      <w:pPr>
        <w:spacing w:after="0" w:line="240" w:lineRule="auto"/>
        <w:ind w:firstLine="4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_ref_1654026"/>
      <w:r w:rsidRPr="00CF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решений по вопросам обесценения активов</w:t>
      </w:r>
      <w:bookmarkEnd w:id="26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_ref_1654027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  <w:bookmarkEnd w:id="27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8" w:name="_ref_1654028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28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ref_1654029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29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ref_1654030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30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ref_1654031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1"/>
    </w:p>
    <w:p w:rsidR="004D198C" w:rsidRPr="00CF3ADE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ref_1654032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представление могут быть включены рекомендации комиссии по дальнейшему использованию имущества.</w:t>
      </w:r>
      <w:bookmarkEnd w:id="32"/>
    </w:p>
    <w:p w:rsidR="004D198C" w:rsidRPr="00013830" w:rsidRDefault="004D198C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_ref_1654033"/>
      <w:r w:rsidRPr="00CF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4" w:name="_docEnd_8"/>
      <w:bookmarkEnd w:id="33"/>
      <w:bookmarkEnd w:id="34"/>
    </w:p>
    <w:p w:rsidR="00911E12" w:rsidRPr="00013830" w:rsidRDefault="00911E12" w:rsidP="00A97A43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830" w:rsidRPr="00345E04" w:rsidRDefault="00013830" w:rsidP="00A9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iCs/>
          <w:sz w:val="28"/>
          <w:szCs w:val="28"/>
        </w:rPr>
        <w:t>финансово-экономического управления</w:t>
      </w:r>
    </w:p>
    <w:p w:rsidR="00013830" w:rsidRPr="0029260E" w:rsidRDefault="00013830" w:rsidP="00A9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E04">
        <w:rPr>
          <w:rFonts w:ascii="Times New Roman" w:hAnsi="Times New Roman" w:cs="Times New Roman"/>
          <w:bCs/>
          <w:iCs/>
          <w:sz w:val="28"/>
          <w:szCs w:val="28"/>
        </w:rPr>
        <w:t>(главн</w:t>
      </w:r>
      <w:r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Pr="00345E04">
        <w:rPr>
          <w:rFonts w:ascii="Times New Roman" w:hAnsi="Times New Roman" w:cs="Times New Roman"/>
          <w:bCs/>
          <w:iCs/>
          <w:sz w:val="28"/>
          <w:szCs w:val="28"/>
        </w:rPr>
        <w:t xml:space="preserve"> бухгалтер)</w:t>
      </w:r>
    </w:p>
    <w:p w:rsidR="00D645EA" w:rsidRPr="00D645EA" w:rsidRDefault="00911E12" w:rsidP="00A97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внутренней службы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C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М.Г. </w:t>
      </w:r>
      <w:proofErr w:type="spellStart"/>
      <w:r w:rsidRPr="00911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Кусова</w:t>
      </w:r>
      <w:proofErr w:type="spellEnd"/>
    </w:p>
    <w:sectPr w:rsidR="00D645EA" w:rsidRPr="00D645EA" w:rsidSect="00CE243B">
      <w:pgSz w:w="11906" w:h="16838"/>
      <w:pgMar w:top="1191" w:right="567" w:bottom="567" w:left="113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C"/>
    <w:rsid w:val="00013830"/>
    <w:rsid w:val="001D2760"/>
    <w:rsid w:val="001E47D0"/>
    <w:rsid w:val="00212980"/>
    <w:rsid w:val="0025265F"/>
    <w:rsid w:val="002D561D"/>
    <w:rsid w:val="003F4E1C"/>
    <w:rsid w:val="0043388D"/>
    <w:rsid w:val="00490E4C"/>
    <w:rsid w:val="004D198C"/>
    <w:rsid w:val="00564E8B"/>
    <w:rsid w:val="005C5EA7"/>
    <w:rsid w:val="005F4B84"/>
    <w:rsid w:val="006670B0"/>
    <w:rsid w:val="00677615"/>
    <w:rsid w:val="006A3684"/>
    <w:rsid w:val="007E79C6"/>
    <w:rsid w:val="00874EEE"/>
    <w:rsid w:val="008F6B02"/>
    <w:rsid w:val="00911E12"/>
    <w:rsid w:val="00927204"/>
    <w:rsid w:val="00940C97"/>
    <w:rsid w:val="00992F57"/>
    <w:rsid w:val="009A32A4"/>
    <w:rsid w:val="009A35FE"/>
    <w:rsid w:val="00A40DCC"/>
    <w:rsid w:val="00A742E5"/>
    <w:rsid w:val="00A93B1B"/>
    <w:rsid w:val="00A97A43"/>
    <w:rsid w:val="00AD727A"/>
    <w:rsid w:val="00B812EC"/>
    <w:rsid w:val="00B8634C"/>
    <w:rsid w:val="00BA14A8"/>
    <w:rsid w:val="00BA786C"/>
    <w:rsid w:val="00C445D6"/>
    <w:rsid w:val="00CE243B"/>
    <w:rsid w:val="00CF3ADE"/>
    <w:rsid w:val="00D645EA"/>
    <w:rsid w:val="00DE0E26"/>
    <w:rsid w:val="00E861D7"/>
    <w:rsid w:val="00EC08B4"/>
    <w:rsid w:val="00F07C33"/>
    <w:rsid w:val="00F66B09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98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198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198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198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198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198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198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198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198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9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19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19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19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19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19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3">
    <w:name w:val="Hyperlink"/>
    <w:basedOn w:val="a0"/>
    <w:uiPriority w:val="99"/>
    <w:unhideWhenUsed/>
    <w:rsid w:val="009A3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98C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D198C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D198C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198C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198C"/>
    <w:pPr>
      <w:keepNext/>
      <w:keepLines/>
      <w:numPr>
        <w:ilvl w:val="4"/>
        <w:numId w:val="1"/>
      </w:numPr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D198C"/>
    <w:pPr>
      <w:keepNext/>
      <w:keepLines/>
      <w:numPr>
        <w:ilvl w:val="5"/>
        <w:numId w:val="1"/>
      </w:numPr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D198C"/>
    <w:pPr>
      <w:keepNext/>
      <w:keepLines/>
      <w:numPr>
        <w:ilvl w:val="6"/>
        <w:numId w:val="1"/>
      </w:numPr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D198C"/>
    <w:pPr>
      <w:keepNext/>
      <w:keepLines/>
      <w:numPr>
        <w:ilvl w:val="7"/>
        <w:numId w:val="1"/>
      </w:numPr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D198C"/>
    <w:pPr>
      <w:keepNext/>
      <w:keepLines/>
      <w:numPr>
        <w:ilvl w:val="8"/>
        <w:numId w:val="1"/>
      </w:numPr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98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198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198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198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198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D198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198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198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3">
    <w:name w:val="Hyperlink"/>
    <w:basedOn w:val="a0"/>
    <w:uiPriority w:val="99"/>
    <w:unhideWhenUsed/>
    <w:rsid w:val="009A3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890C4009338499B9D4E29600D213292d3R9M" TargetMode="External"/><Relationship Id="rId13" Type="http://schemas.openxmlformats.org/officeDocument/2006/relationships/hyperlink" Target="http://sps.rkomi.local:808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2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11" Type="http://schemas.openxmlformats.org/officeDocument/2006/relationships/hyperlink" Target="consultantplus://offline/ref=9D8161AA42813FF2C5CEF20345109A18045E915A4D486592BF0D91A3DD55F1698951AD87C989255BD5FBE190C6009D654393C4422B6702763792395C742FD69A89D84C4BBB23d1R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BE190C6009D654393C4422B6702763792395C742FD69D86DD4C4BBB23d1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9BC98E255BD5FCEE95C30D9338499B9D4E29600D213292d3R9M" TargetMode="External"/><Relationship Id="rId14" Type="http://schemas.openxmlformats.org/officeDocument/2006/relationships/hyperlink" Target="consultantplus://offline/ref=9D8161AA42813FF2C5CEF20345109A18045E915A4D486592BF0D91A3DD55F1698951AD87C989255BD5FBE190C6009D654393C4422B6702763792395C742FD79D8FD8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Степанович</dc:creator>
  <cp:lastModifiedBy>Татьяна Б. Думанская</cp:lastModifiedBy>
  <cp:revision>10</cp:revision>
  <dcterms:created xsi:type="dcterms:W3CDTF">2024-02-12T10:15:00Z</dcterms:created>
  <dcterms:modified xsi:type="dcterms:W3CDTF">2024-02-19T07:48:00Z</dcterms:modified>
</cp:coreProperties>
</file>