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0C" w:rsidRDefault="00986BD6">
      <w:pPr>
        <w:pStyle w:val="1"/>
      </w:pPr>
      <w:bookmarkStart w:id="0" w:name="anchor0"/>
      <w:bookmarkStart w:id="1" w:name="_GoBack"/>
      <w:bookmarkEnd w:id="0"/>
      <w:bookmarkEnd w:id="1"/>
      <w:r>
        <w:t xml:space="preserve">Указ Президента РФ от 16 октября 2019 г. N 501 "О Стратегии в области развития гражданской обороны, защиты населения и территорий от чрезвычайных ситуаций, обеспечения пожарной </w:t>
      </w:r>
      <w:r>
        <w:t>безопасности и безопасности людей на водных объектах на период до 2030 года"</w:t>
      </w:r>
    </w:p>
    <w:p w:rsidR="00AD2D0C" w:rsidRDefault="00AD2D0C">
      <w:pPr>
        <w:pStyle w:val="a3"/>
      </w:pPr>
    </w:p>
    <w:p w:rsidR="00AD2D0C" w:rsidRDefault="00986BD6">
      <w:pPr>
        <w:pStyle w:val="a3"/>
      </w:pPr>
      <w:r>
        <w:t xml:space="preserve">В соответствии с </w:t>
      </w:r>
      <w:hyperlink r:id="rId6" w:history="1">
        <w:r>
          <w:t>Федеральным законом</w:t>
        </w:r>
      </w:hyperlink>
      <w:r>
        <w:t xml:space="preserve"> от 28 июня 2014 г. N 172-ФЗ "О стратегическом планировании в Россий</w:t>
      </w:r>
      <w:r>
        <w:t>ской Федерации" постановляю:</w:t>
      </w:r>
    </w:p>
    <w:p w:rsidR="00AD2D0C" w:rsidRDefault="00986BD6">
      <w:pPr>
        <w:pStyle w:val="a3"/>
      </w:pPr>
      <w:bookmarkStart w:id="2" w:name="anchor1"/>
      <w:bookmarkEnd w:id="2"/>
      <w:r>
        <w:t xml:space="preserve">1. Утвердить прилагаемую </w:t>
      </w:r>
      <w:hyperlink r:id="rId7" w:history="1">
        <w:r>
          <w:t>Стратегию</w:t>
        </w:r>
      </w:hyperlink>
      <w: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</w:t>
      </w:r>
      <w:r>
        <w:t>ъектах на период до 2030 года.</w:t>
      </w:r>
    </w:p>
    <w:p w:rsidR="00AD2D0C" w:rsidRDefault="00986BD6">
      <w:pPr>
        <w:pStyle w:val="a3"/>
      </w:pPr>
      <w:bookmarkStart w:id="3" w:name="anchor2"/>
      <w:bookmarkEnd w:id="3"/>
      <w:r>
        <w:t>2. Правительству Российской Федерации обеспечить реализацию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</w:t>
      </w:r>
      <w:r>
        <w:t>одных объектах на период до 2030 года.</w:t>
      </w:r>
    </w:p>
    <w:p w:rsidR="00AD2D0C" w:rsidRDefault="00986BD6">
      <w:pPr>
        <w:pStyle w:val="a3"/>
      </w:pPr>
      <w:bookmarkStart w:id="4" w:name="anchor3"/>
      <w:bookmarkEnd w:id="4"/>
      <w:r>
        <w:t>3. Настоящий Указ вступает в силу со дня его подписания.</w:t>
      </w:r>
    </w:p>
    <w:p w:rsidR="00AD2D0C" w:rsidRDefault="00AD2D0C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AD2D0C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D0C" w:rsidRDefault="00986BD6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D0C" w:rsidRDefault="00986BD6">
            <w:pPr>
              <w:pStyle w:val="a3"/>
              <w:ind w:firstLine="0"/>
              <w:jc w:val="right"/>
            </w:pPr>
            <w:r>
              <w:t>В. Путин</w:t>
            </w:r>
          </w:p>
        </w:tc>
      </w:tr>
    </w:tbl>
    <w:p w:rsidR="00AD2D0C" w:rsidRDefault="00AD2D0C">
      <w:pPr>
        <w:pStyle w:val="a3"/>
      </w:pPr>
    </w:p>
    <w:p w:rsidR="00AD2D0C" w:rsidRDefault="00986BD6">
      <w:pPr>
        <w:pStyle w:val="a7"/>
      </w:pPr>
      <w:r>
        <w:t>Москва, Кремль 16 октября 2019 года N 501</w:t>
      </w:r>
    </w:p>
    <w:p w:rsidR="00AD2D0C" w:rsidRDefault="00AD2D0C">
      <w:pPr>
        <w:pStyle w:val="a3"/>
      </w:pPr>
    </w:p>
    <w:p w:rsidR="00AD2D0C" w:rsidRDefault="00986BD6">
      <w:pPr>
        <w:pStyle w:val="a3"/>
        <w:ind w:firstLine="680"/>
        <w:jc w:val="right"/>
      </w:pPr>
      <w:bookmarkStart w:id="5" w:name="anchor1000"/>
      <w:bookmarkEnd w:id="5"/>
      <w:r>
        <w:rPr>
          <w:b/>
          <w:color w:val="26282F"/>
        </w:rPr>
        <w:t xml:space="preserve">УТВЕРЖДЕНА </w:t>
      </w:r>
      <w:hyperlink r:id="rId8" w:history="1">
        <w:r>
          <w:rPr>
            <w:b/>
            <w:color w:val="26282F"/>
          </w:rPr>
          <w:t>Указом</w:t>
        </w:r>
      </w:hyperlink>
      <w:r>
        <w:rPr>
          <w:b/>
          <w:color w:val="26282F"/>
        </w:rPr>
        <w:t xml:space="preserve"> Президента Российской </w:t>
      </w:r>
      <w:r>
        <w:rPr>
          <w:b/>
          <w:color w:val="26282F"/>
        </w:rPr>
        <w:t>Федерации от 16 октября 2019 г. N 501</w:t>
      </w:r>
    </w:p>
    <w:p w:rsidR="00AD2D0C" w:rsidRDefault="00AD2D0C">
      <w:pPr>
        <w:pStyle w:val="a3"/>
      </w:pPr>
    </w:p>
    <w:p w:rsidR="00AD2D0C" w:rsidRDefault="00986BD6">
      <w:pPr>
        <w:pStyle w:val="1"/>
      </w:pPr>
      <w:r>
        <w:t>Стратегия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</w:t>
      </w:r>
    </w:p>
    <w:p w:rsidR="00000000" w:rsidRDefault="00986BD6">
      <w:pPr>
        <w:sectPr w:rsidR="00000000">
          <w:headerReference w:type="default" r:id="rId9"/>
          <w:footerReference w:type="default" r:id="rId10"/>
          <w:pgSz w:w="11906" w:h="16838"/>
          <w:pgMar w:top="794" w:right="794" w:bottom="794" w:left="794" w:header="720" w:footer="720" w:gutter="0"/>
          <w:cols w:space="720"/>
        </w:sectPr>
      </w:pPr>
    </w:p>
    <w:p w:rsidR="00AD2D0C" w:rsidRDefault="00986BD6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AD2D0C" w:rsidRDefault="00986BD6">
      <w:pPr>
        <w:pStyle w:val="a5"/>
      </w:pPr>
      <w:r>
        <w:t xml:space="preserve">См. </w:t>
      </w:r>
      <w:hyperlink r:id="rId11" w:history="1">
        <w:r>
          <w:t>план</w:t>
        </w:r>
      </w:hyperlink>
      <w:r>
        <w:t xml:space="preserve"> мероприятий ФТС России, таможенных органов РФ, учреждений, находящихся в ведении ФТС России, на 2021 - 2024 годы (I этап) по реализации настоящей Стратегии, утвержденный ФТС Рос</w:t>
      </w:r>
      <w:r>
        <w:t>сии 31 мая 2021 г.</w:t>
      </w:r>
    </w:p>
    <w:p w:rsidR="00AD2D0C" w:rsidRDefault="00986BD6">
      <w:pPr>
        <w:pStyle w:val="a5"/>
      </w:pPr>
      <w:r>
        <w:t xml:space="preserve">См. </w:t>
      </w:r>
      <w:hyperlink r:id="rId12" w:history="1">
        <w:r>
          <w:t>план</w:t>
        </w:r>
      </w:hyperlink>
      <w:r>
        <w:t xml:space="preserve"> мероприятий Росжелдора на 2020-2024 гг. (I этап) по реализации настоящей Стратегии, утвержденный </w:t>
      </w:r>
      <w:hyperlink r:id="rId13" w:history="1">
        <w:r>
          <w:t>приказом</w:t>
        </w:r>
      </w:hyperlink>
      <w:r>
        <w:t xml:space="preserve"> Росжелдора от 26 августа 2020 г. N 340</w:t>
      </w:r>
    </w:p>
    <w:p w:rsidR="00AD2D0C" w:rsidRDefault="00986BD6">
      <w:pPr>
        <w:pStyle w:val="a5"/>
      </w:pPr>
      <w:r>
        <w:t xml:space="preserve">См. </w:t>
      </w:r>
      <w:hyperlink r:id="rId14" w:history="1">
        <w:r>
          <w:t>план</w:t>
        </w:r>
      </w:hyperlink>
      <w:r>
        <w:t xml:space="preserve"> мероприятий на 2020-2024 годы (I этап) по реализации МЧС России настоящей Стратегии, утвержденный </w:t>
      </w:r>
      <w:hyperlink r:id="rId15" w:history="1">
        <w:r>
          <w:t>приказом</w:t>
        </w:r>
      </w:hyperlink>
      <w:r>
        <w:t xml:space="preserve"> МЧС России от 20 июля2020 г. N 536</w:t>
      </w:r>
    </w:p>
    <w:p w:rsidR="00AD2D0C" w:rsidRDefault="00AD2D0C">
      <w:pPr>
        <w:pStyle w:val="a5"/>
      </w:pPr>
    </w:p>
    <w:p w:rsidR="00000000" w:rsidRDefault="00986BD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D2D0C" w:rsidRDefault="00986BD6">
      <w:pPr>
        <w:pStyle w:val="1"/>
      </w:pPr>
      <w:bookmarkStart w:id="6" w:name="anchor1100"/>
      <w:bookmarkEnd w:id="6"/>
      <w:r>
        <w:lastRenderedPageBreak/>
        <w:t>I. Общие положения</w:t>
      </w:r>
    </w:p>
    <w:p w:rsidR="00AD2D0C" w:rsidRDefault="00AD2D0C">
      <w:pPr>
        <w:pStyle w:val="a3"/>
      </w:pPr>
    </w:p>
    <w:p w:rsidR="00AD2D0C" w:rsidRDefault="00986BD6">
      <w:pPr>
        <w:pStyle w:val="a3"/>
      </w:pPr>
      <w:bookmarkStart w:id="7" w:name="anchor1001"/>
      <w:bookmarkEnd w:id="7"/>
      <w:r>
        <w:t>1. Настоящая Стратегия является документом стратегического планирования, определяющим цель и основные задачи в области р</w:t>
      </w:r>
      <w:r>
        <w:t>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сферах.</w:t>
      </w:r>
    </w:p>
    <w:p w:rsidR="00AD2D0C" w:rsidRDefault="00986BD6">
      <w:pPr>
        <w:pStyle w:val="a3"/>
      </w:pPr>
      <w:bookmarkStart w:id="8" w:name="anchor1002"/>
      <w:bookmarkEnd w:id="8"/>
      <w:r>
        <w:t>2. Правовую основу настоящей Стратеги</w:t>
      </w:r>
      <w:r>
        <w:t xml:space="preserve">и составляют </w:t>
      </w:r>
      <w:hyperlink r:id="rId16" w:history="1">
        <w:r>
          <w:t>Конституция</w:t>
        </w:r>
      </w:hyperlink>
      <w:r>
        <w:t xml:space="preserve"> Российской Федерации, </w:t>
      </w:r>
      <w:hyperlink r:id="rId17" w:history="1">
        <w:r>
          <w:t>Стратегия</w:t>
        </w:r>
      </w:hyperlink>
      <w:r>
        <w:t xml:space="preserve"> национальной безопасности Российской Федерации,</w:t>
      </w:r>
      <w:r>
        <w:t xml:space="preserve"> </w:t>
      </w:r>
      <w:hyperlink r:id="rId18" w:history="1">
        <w:r>
          <w:t>Военная доктрина</w:t>
        </w:r>
      </w:hyperlink>
      <w:r>
        <w:t xml:space="preserve"> Российской Федерации, нормативные правовые акты Российской Федерации в области гражданской обороны, защиты населения и территорий от чрезвычайных ситуаций, обеспече</w:t>
      </w:r>
      <w:r>
        <w:t>ния пожарной безопасности и безопасности людей на водных объектах.</w:t>
      </w:r>
    </w:p>
    <w:p w:rsidR="00AD2D0C" w:rsidRDefault="00986BD6">
      <w:pPr>
        <w:pStyle w:val="a3"/>
      </w:pPr>
      <w:bookmarkStart w:id="9" w:name="anchor1003"/>
      <w:bookmarkEnd w:id="9"/>
      <w:r>
        <w:t xml:space="preserve">3. Реализация настоящей Стратегии предусматривает создание оптимальных условий для эффективного решения общегосударственных задач в области обеспечения безопасности </w:t>
      </w:r>
      <w:r>
        <w:lastRenderedPageBreak/>
        <w:t>жизнедеятельности населе</w:t>
      </w:r>
      <w:r>
        <w:t>ния и защищенности критически важных и потенциально опасных объектов,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</w:t>
      </w:r>
      <w:r>
        <w:t>х, пожарах и происшествиях на водных объектах, в целях обеспечения национальной безопасности и устойчивого социально-экономического развития Российской Федерации в современных геополитических условиях.</w:t>
      </w:r>
    </w:p>
    <w:p w:rsidR="00AD2D0C" w:rsidRDefault="00AD2D0C">
      <w:pPr>
        <w:pStyle w:val="a3"/>
      </w:pPr>
    </w:p>
    <w:p w:rsidR="00AD2D0C" w:rsidRDefault="00986BD6">
      <w:pPr>
        <w:pStyle w:val="1"/>
      </w:pPr>
      <w:bookmarkStart w:id="10" w:name="anchor1200"/>
      <w:bookmarkEnd w:id="10"/>
      <w:r>
        <w:t xml:space="preserve">II. Оценка состояния гражданской обороны, защиты </w:t>
      </w:r>
      <w:r>
        <w:t>населения и территорий от чрезвычайных ситуаций, пожарной безопасности и безопасности людей на водных объектах, основные проблемы, вызовы и угрозы в этих сферах</w:t>
      </w:r>
    </w:p>
    <w:p w:rsidR="00AD2D0C" w:rsidRDefault="00AD2D0C">
      <w:pPr>
        <w:pStyle w:val="a3"/>
      </w:pPr>
    </w:p>
    <w:p w:rsidR="00AD2D0C" w:rsidRDefault="00986BD6">
      <w:pPr>
        <w:pStyle w:val="a3"/>
      </w:pPr>
      <w:bookmarkStart w:id="11" w:name="anchor1004"/>
      <w:bookmarkEnd w:id="11"/>
      <w:r>
        <w:t>4. В Российской Федерации сформированы система управления гражданской обороной и группировка с</w:t>
      </w:r>
      <w:r>
        <w:t>ил гражданской обороны, состоящая из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подразделений Государственной противопожарной службы</w:t>
      </w:r>
      <w:r>
        <w:t>, аварийно-спасательных и поисково-спасательных формирований, нештатных формирований по обеспечению выполнения мероприятий по гражданской обороне, а также специальных формирований, создаваемых на военное время в целях решения задач в области гражданской об</w:t>
      </w:r>
      <w:r>
        <w:t>ороны.</w:t>
      </w:r>
    </w:p>
    <w:p w:rsidR="00AD2D0C" w:rsidRDefault="00986BD6">
      <w:pPr>
        <w:pStyle w:val="a3"/>
      </w:pPr>
      <w:bookmarkStart w:id="12" w:name="anchor1005"/>
      <w:bookmarkEnd w:id="12"/>
      <w:r>
        <w:t xml:space="preserve">5. Органы управления гражданской обороной и силы гражданской обороны выполняют задачи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</w:t>
      </w:r>
      <w:r>
        <w:t>конфликтах или вследствие этих конфликтов, а также при чрезвычайных ситуациях.</w:t>
      </w:r>
    </w:p>
    <w:p w:rsidR="00AD2D0C" w:rsidRDefault="00986BD6">
      <w:pPr>
        <w:pStyle w:val="a3"/>
      </w:pPr>
      <w:bookmarkStart w:id="13" w:name="anchor1006"/>
      <w:bookmarkEnd w:id="13"/>
      <w:r>
        <w:t>6. Выполнение задач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</w:t>
      </w:r>
      <w:r>
        <w:t>ных объектах осуществляется с учетом прогнозируемых рисков возникновения пожаров и иных чрезвычайных ситуаций, в том числе вызванных негативными изменениями окружающей среды и неустойчивостью технологических процессов, а также с учетом общего осложнения ме</w:t>
      </w:r>
      <w:r>
        <w:t>ждународных отношений.</w:t>
      </w:r>
    </w:p>
    <w:p w:rsidR="00AD2D0C" w:rsidRDefault="00986BD6">
      <w:pPr>
        <w:pStyle w:val="a3"/>
      </w:pPr>
      <w:bookmarkStart w:id="14" w:name="anchor1007"/>
      <w:bookmarkEnd w:id="14"/>
      <w:r>
        <w:t>7. Защита населения и территорий от чрезвычайных ситуаций, обеспечение безопасности людей на водных объектах осуществляются в рамках единой государственной системы предупреждения и ликвидации чрезвычайных ситуаций.</w:t>
      </w:r>
    </w:p>
    <w:p w:rsidR="00AD2D0C" w:rsidRDefault="00986BD6">
      <w:pPr>
        <w:pStyle w:val="a3"/>
      </w:pPr>
      <w:bookmarkStart w:id="15" w:name="anchor1008"/>
      <w:bookmarkEnd w:id="15"/>
      <w:r>
        <w:t>8. Катастрофы и ст</w:t>
      </w:r>
      <w:r>
        <w:t>ихийные бедствия, вызванные быстроразвивающимися опасными природными явлениями и техногенными процессами, представляют угрозу для устойчивого социально-экономического развития страны в целом и ее регионов в частности.</w:t>
      </w:r>
    </w:p>
    <w:p w:rsidR="00AD2D0C" w:rsidRDefault="00986BD6">
      <w:pPr>
        <w:pStyle w:val="a3"/>
      </w:pPr>
      <w:bookmarkStart w:id="16" w:name="anchor1009"/>
      <w:bookmarkEnd w:id="16"/>
      <w:r>
        <w:t>9. Увеличивается количество чрезвычайн</w:t>
      </w:r>
      <w:r>
        <w:t>ых ситуаций биолого-социального характера, расширяются границы природных очагов эпизоотии на территориях субъектов Российской Федерации.</w:t>
      </w:r>
    </w:p>
    <w:p w:rsidR="00AD2D0C" w:rsidRDefault="00986BD6">
      <w:pPr>
        <w:pStyle w:val="a3"/>
      </w:pPr>
      <w:bookmarkStart w:id="17" w:name="anchor1010"/>
      <w:bookmarkEnd w:id="17"/>
      <w:r>
        <w:t>10. Сохраняется негативная тенденция изменения окружающей среды, выражающаяся в активизации неблагоприятных и опасных п</w:t>
      </w:r>
      <w:r>
        <w:t>риродных явлений и процессов и, соответственно, в увеличении частоты и масштабов стихийных бедствий, перерастании природных катастроф в техногенные и наоборот.</w:t>
      </w:r>
    </w:p>
    <w:p w:rsidR="00AD2D0C" w:rsidRDefault="00986BD6">
      <w:pPr>
        <w:pStyle w:val="a3"/>
      </w:pPr>
      <w:bookmarkStart w:id="18" w:name="anchor1011"/>
      <w:bookmarkEnd w:id="18"/>
      <w:r>
        <w:t xml:space="preserve">11. Человеческий фактор остается одной из основных причин крупных техногенных аварий и пожаров. </w:t>
      </w:r>
      <w:r>
        <w:t>Высокий уровень аварийности сохраняется в таких важнейших отраслях экономики, как транспорт, энергетика, жилищно-коммунальное хозяйство. Возрастающая зависимость людей от технологий и инноваций в ближайшем будущем может привести к каскадному развитию катас</w:t>
      </w:r>
      <w:r>
        <w:t>троф.</w:t>
      </w:r>
    </w:p>
    <w:p w:rsidR="00AD2D0C" w:rsidRDefault="00986BD6">
      <w:pPr>
        <w:pStyle w:val="a3"/>
      </w:pPr>
      <w:bookmarkStart w:id="19" w:name="anchor1012"/>
      <w:bookmarkEnd w:id="19"/>
      <w:r>
        <w:t>12. Масштабы прямого ущерба от пожаров свидетельствуют о тяжести их экономических последствий для страны.</w:t>
      </w:r>
    </w:p>
    <w:p w:rsidR="00AD2D0C" w:rsidRDefault="00986BD6">
      <w:pPr>
        <w:pStyle w:val="a3"/>
      </w:pPr>
      <w:bookmarkStart w:id="20" w:name="anchor1013"/>
      <w:bookmarkEnd w:id="20"/>
      <w:r>
        <w:t>13. Для обеспечения пожарной безопасности и тушения пожаров в Российской Федерации сформировано 85 территориальных и 1,6 тыс. местных пожарно-сп</w:t>
      </w:r>
      <w:r>
        <w:t xml:space="preserve">асательных гарнизонов. В </w:t>
      </w:r>
      <w:r>
        <w:lastRenderedPageBreak/>
        <w:t>отдаленных и (или) труднодоступных населенных пунктах созданы подразделения добровольной пожарной охраны.</w:t>
      </w:r>
    </w:p>
    <w:p w:rsidR="00AD2D0C" w:rsidRDefault="00986BD6">
      <w:pPr>
        <w:pStyle w:val="a3"/>
      </w:pPr>
      <w:bookmarkStart w:id="21" w:name="anchor1014"/>
      <w:bookmarkEnd w:id="21"/>
      <w:r>
        <w:t>14. Существенные проблемы в области обустройства береговых линий и пляжей, недостатки профилактической (предупредительной) ра</w:t>
      </w:r>
      <w:r>
        <w:t xml:space="preserve">боты с населением, нарушения </w:t>
      </w:r>
      <w:hyperlink r:id="rId19" w:history="1">
        <w:r>
          <w:t>правил</w:t>
        </w:r>
      </w:hyperlink>
      <w:r>
        <w:t xml:space="preserve"> пользования маломерными судами создают угрозу безопасности людей на водных объектах.</w:t>
      </w:r>
    </w:p>
    <w:p w:rsidR="00AD2D0C" w:rsidRDefault="00986BD6">
      <w:pPr>
        <w:pStyle w:val="a3"/>
      </w:pPr>
      <w:bookmarkStart w:id="22" w:name="anchor1015"/>
      <w:bookmarkEnd w:id="22"/>
      <w:r>
        <w:t>15. Масштабы возникающих и прогнозируемых чрезвычайных сит</w:t>
      </w:r>
      <w:r>
        <w:t>уаций, применение новых форм и методов ведения военных действий создают предпосылки для количественного и качественного отставания материально-технической базы сил гражданской обороны и единой государственной системы предупреждения и ликвидации чрезвычайны</w:t>
      </w:r>
      <w:r>
        <w:t>х ситуаций от уровня материально-технического обеспечения, необходимого для решения новых задач по обеспечению безопасности жизнедеятельности населения.</w:t>
      </w:r>
    </w:p>
    <w:p w:rsidR="00AD2D0C" w:rsidRDefault="00AD2D0C">
      <w:pPr>
        <w:pStyle w:val="a3"/>
      </w:pPr>
    </w:p>
    <w:p w:rsidR="00AD2D0C" w:rsidRDefault="00986BD6">
      <w:pPr>
        <w:pStyle w:val="1"/>
      </w:pPr>
      <w:bookmarkStart w:id="23" w:name="anchor1300"/>
      <w:bookmarkEnd w:id="23"/>
      <w:r>
        <w:t>III. Цель и основные задачи в области развития гражданской обороны, защиты населения и территорий от ч</w:t>
      </w:r>
      <w:r>
        <w:t>резвычайных ситуаций, обеспечения пожарной безопасности и безопасности людей на водных объектах</w:t>
      </w:r>
    </w:p>
    <w:p w:rsidR="00AD2D0C" w:rsidRDefault="00AD2D0C">
      <w:pPr>
        <w:pStyle w:val="a3"/>
      </w:pPr>
    </w:p>
    <w:p w:rsidR="00AD2D0C" w:rsidRDefault="00986BD6">
      <w:pPr>
        <w:pStyle w:val="a3"/>
      </w:pPr>
      <w:bookmarkStart w:id="24" w:name="anchor1016"/>
      <w:bookmarkEnd w:id="24"/>
      <w:r>
        <w:t>16. 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</w:t>
      </w:r>
      <w:r>
        <w:t>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</w:t>
      </w:r>
      <w:r>
        <w:t>х.</w:t>
      </w:r>
    </w:p>
    <w:p w:rsidR="00AD2D0C" w:rsidRDefault="00986BD6">
      <w:pPr>
        <w:pStyle w:val="a3"/>
      </w:pPr>
      <w:bookmarkStart w:id="25" w:name="anchor1017"/>
      <w:bookmarkEnd w:id="25"/>
      <w:r>
        <w:t>17. Основными задачами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являются:</w:t>
      </w:r>
    </w:p>
    <w:p w:rsidR="00AD2D0C" w:rsidRDefault="00986BD6">
      <w:pPr>
        <w:pStyle w:val="a3"/>
      </w:pPr>
      <w:bookmarkStart w:id="26" w:name="anchor10171"/>
      <w:bookmarkEnd w:id="26"/>
      <w:r>
        <w:t xml:space="preserve">а) развитие системы государственного управления и </w:t>
      </w:r>
      <w:r>
        <w:t>стратегического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учетом политической и социально-экономической ситуации в Российс</w:t>
      </w:r>
      <w:r>
        <w:t>кой Федерации и в мире, предусматривающее в том числе:</w:t>
      </w:r>
    </w:p>
    <w:p w:rsidR="00AD2D0C" w:rsidRDefault="00986BD6">
      <w:pPr>
        <w:pStyle w:val="a3"/>
      </w:pPr>
      <w:r>
        <w:t>формирование эффективного механизма оценки применения законодательства Российской Федерации и реализации документов стратегического планирования в области гражданской обороны, защиты населения и террит</w:t>
      </w:r>
      <w:r>
        <w:t>орий от чрезвычайных ситуаций, обеспечения пожарной безопасности и безопасности людей на водных объектах;</w:t>
      </w:r>
    </w:p>
    <w:p w:rsidR="00AD2D0C" w:rsidRDefault="00986BD6">
      <w:pPr>
        <w:pStyle w:val="a3"/>
      </w:pPr>
      <w:r>
        <w:t>совершенствование организации взаимодействия системы управления гражданской обороной, органов управления единой государственной системы предупреждения</w:t>
      </w:r>
      <w:r>
        <w:t xml:space="preserve"> и ликвидации чрезвычайных ситуаций с системой государственного управления Российской Федерации;</w:t>
      </w:r>
    </w:p>
    <w:p w:rsidR="00AD2D0C" w:rsidRDefault="00986BD6">
      <w:pPr>
        <w:pStyle w:val="a3"/>
      </w:pPr>
      <w:r>
        <w:t>развитие аппаратно-программных комплексов и технических средств мониторинга, прогнозирования и поддержки принятия решений в целях повышения эффективности деяте</w:t>
      </w:r>
      <w:r>
        <w:t>льности органов управления гражданской обороной и органов управления единой государственной системы предупреждения и ликвидации чрезвычайных ситуаций;</w:t>
      </w:r>
    </w:p>
    <w:p w:rsidR="00AD2D0C" w:rsidRDefault="00986BD6">
      <w:pPr>
        <w:pStyle w:val="a3"/>
      </w:pPr>
      <w:r>
        <w:t xml:space="preserve">совершенствование состава и структуры органов управления гражданской обороной, сил и средств гражданской </w:t>
      </w:r>
      <w:r>
        <w:t xml:space="preserve">обороны, органов управления, сил и средств единой государственной системы предупреждения и ликвидации чрезвычайных ситуаций с учетом прогнозируемых опасностей, возникающих при военных конфликтах или вследствие этих конфликтов, а также рисков возникновения </w:t>
      </w:r>
      <w:r>
        <w:t>чрезвычайных ситуаций, пожаров и происшествий на водных объектах;</w:t>
      </w:r>
    </w:p>
    <w:p w:rsidR="00AD2D0C" w:rsidRDefault="00986BD6">
      <w:pPr>
        <w:pStyle w:val="a3"/>
      </w:pPr>
      <w:bookmarkStart w:id="27" w:name="anchor10172"/>
      <w:bookmarkEnd w:id="27"/>
      <w:r>
        <w:t>б) внедрение новых технологий обеспечения безопасности жизнедеятельности населения, предусматривающее в том числе:</w:t>
      </w:r>
    </w:p>
    <w:p w:rsidR="00AD2D0C" w:rsidRDefault="00986BD6">
      <w:pPr>
        <w:pStyle w:val="a3"/>
      </w:pPr>
      <w:r>
        <w:t>совершенствование методов, средств и способов проведения мероприятий по гра</w:t>
      </w:r>
      <w:r>
        <w:t xml:space="preserve">жданской обороне, защите населения и территорий от чрезвычайных ситуаций, обеспечению пожарной безопасности и безопасности людей на водных объектах, направленных на повышение уровня </w:t>
      </w:r>
      <w:r>
        <w:lastRenderedPageBreak/>
        <w:t>защищенности населения от опасностей, возникающих при военных конфликтах и</w:t>
      </w:r>
      <w:r>
        <w:t>ли вследствие этих конфликтов, а также при чрезвычайных ситуациях, пожарах и происшествиях на водных объектах;</w:t>
      </w:r>
    </w:p>
    <w:p w:rsidR="00AD2D0C" w:rsidRDefault="00986BD6">
      <w:pPr>
        <w:pStyle w:val="a3"/>
      </w:pPr>
      <w:r>
        <w:t>создание на военное время в целях решения задач в области гражданской обороны специальных формирований с использованием возможностей аварийно-спа</w:t>
      </w:r>
      <w:r>
        <w:t>сательных формирований субъектов Российской Федерации, пожарно-спасательных подразделений противопожарной службы субъектов Российской Федерации и муниципальной пожарной охраны;</w:t>
      </w:r>
    </w:p>
    <w:p w:rsidR="00AD2D0C" w:rsidRDefault="00986BD6">
      <w:pPr>
        <w:pStyle w:val="a3"/>
      </w:pPr>
      <w:r>
        <w:t>создание условий для эффективной деятельности аварийно-спасательных служб и фор</w:t>
      </w:r>
      <w:r>
        <w:t>мирований, пожарно-спасательных подразделений с учетом приоритетов регионального развития и экономических перспектив освоения территорий при реализации государственной политики регионального развития Российской Федерации;</w:t>
      </w:r>
    </w:p>
    <w:p w:rsidR="00AD2D0C" w:rsidRDefault="00986BD6">
      <w:pPr>
        <w:pStyle w:val="a3"/>
      </w:pPr>
      <w:r>
        <w:t xml:space="preserve">совершенствование спасательных </w:t>
      </w:r>
      <w:r>
        <w:t>технологий, технических средств и экипировки, предназначенных для оснащения спасательных воинских формирований, аварийно-спасательных служб и аварийно-спасательных формирований, пожарно-спасательных подразделений;</w:t>
      </w:r>
    </w:p>
    <w:p w:rsidR="00AD2D0C" w:rsidRDefault="00986BD6">
      <w:pPr>
        <w:pStyle w:val="a3"/>
      </w:pPr>
      <w:r>
        <w:t>разработку и внедрение новых способов и те</w:t>
      </w:r>
      <w:r>
        <w:t>хнологий проведения подводных работ особого (специального) назначения, а также новых средств подводного обследования;</w:t>
      </w:r>
    </w:p>
    <w:p w:rsidR="00AD2D0C" w:rsidRDefault="00986BD6">
      <w:pPr>
        <w:pStyle w:val="a3"/>
      </w:pPr>
      <w:r>
        <w:t>внедрение новых форм подготовки населения в области гражданской обороны и к действиям в чрезвычайных ситуациях, в том числе с использовани</w:t>
      </w:r>
      <w:r>
        <w:t>ем современных технических средств обучения;</w:t>
      </w:r>
    </w:p>
    <w:p w:rsidR="00AD2D0C" w:rsidRDefault="00986BD6">
      <w:pPr>
        <w:pStyle w:val="a3"/>
      </w:pPr>
      <w:bookmarkStart w:id="28" w:name="anchor10173"/>
      <w:bookmarkEnd w:id="28"/>
      <w:r>
        <w:t>в) развитие системы обеспечения пожарной безопасности в целях профилактики пожаров, их тушения и проведения аварийно-спасательных работ, предусматривающее в том числе:</w:t>
      </w:r>
    </w:p>
    <w:p w:rsidR="00AD2D0C" w:rsidRDefault="00986BD6">
      <w:pPr>
        <w:pStyle w:val="a3"/>
      </w:pPr>
      <w:r>
        <w:t>внедрение гибких механизмов и современных т</w:t>
      </w:r>
      <w:r>
        <w:t>ехнологий осуществления пожарного надзора, основанного на применении риск-ориентированного подхода, и обеспечение безусловного соблюдения требований пожарной безопасности;</w:t>
      </w:r>
    </w:p>
    <w:p w:rsidR="00AD2D0C" w:rsidRDefault="00986BD6">
      <w:pPr>
        <w:pStyle w:val="a3"/>
      </w:pPr>
      <w:r>
        <w:t>совершенствование порядка осуществления пожарного надзора на объектах, критически ва</w:t>
      </w:r>
      <w:r>
        <w:t>жных для национальной безопасности страны, других особо важных пожароопасных объектах, особо ценных объектах культурного наследия народов Российской Федерации, на которых создаются объектовые и специальные подразделения федеральной противопожарной службы Г</w:t>
      </w:r>
      <w:r>
        <w:t>осударственной противопожарной службы;</w:t>
      </w:r>
    </w:p>
    <w:p w:rsidR="00AD2D0C" w:rsidRDefault="00986BD6">
      <w:pPr>
        <w:pStyle w:val="a3"/>
      </w:pPr>
      <w:r>
        <w:t>совершенствование способов и методов взаимодействия всех элементов системы обеспечения пожарной безопасности;</w:t>
      </w:r>
    </w:p>
    <w:p w:rsidR="00AD2D0C" w:rsidRDefault="00986BD6">
      <w:pPr>
        <w:pStyle w:val="a3"/>
      </w:pPr>
      <w:bookmarkStart w:id="29" w:name="anchor10174"/>
      <w:bookmarkEnd w:id="29"/>
      <w:r>
        <w:t>г) поддержка и стимулирование фундаментальных и прикладных научных исследований в области гражданской оборо</w:t>
      </w:r>
      <w:r>
        <w:t>ны, защиты населения и территорий от чрезвычайных ситуаций, обеспечения пожарной безопасности и безопасности людей на водных объектах, развитие спасательных технологий и спасательной техники, предусматривающие в том числе:</w:t>
      </w:r>
    </w:p>
    <w:p w:rsidR="00AD2D0C" w:rsidRDefault="00986BD6">
      <w:pPr>
        <w:pStyle w:val="a3"/>
      </w:pPr>
      <w:r>
        <w:t>совершенствование научных основ о</w:t>
      </w:r>
      <w:r>
        <w:t>беспечения комплексной безопасности личности, общества и государства при подготовке к ведению и ведении гражданской обороны, при чрезвычайных ситуациях, пожарах и происшествиях на водных объектах;</w:t>
      </w:r>
    </w:p>
    <w:p w:rsidR="00AD2D0C" w:rsidRDefault="00986BD6">
      <w:pPr>
        <w:pStyle w:val="a3"/>
      </w:pPr>
      <w:r>
        <w:t>формирование научных основ повышения уровня защищенности кр</w:t>
      </w:r>
      <w:r>
        <w:t>итически важных и потенциально опасных объектов в связи с появлением новых опасностей и угроз;</w:t>
      </w:r>
    </w:p>
    <w:p w:rsidR="00AD2D0C" w:rsidRDefault="00986BD6">
      <w:pPr>
        <w:pStyle w:val="a3"/>
      </w:pPr>
      <w:bookmarkStart w:id="30" w:name="anchor10175"/>
      <w:bookmarkEnd w:id="30"/>
      <w:r>
        <w:t>д) развитие международного сотрудничества в области гражданской обороны, защиты населения и территорий от чрезвычайных ситуаций, обеспечения пожарной безопасност</w:t>
      </w:r>
      <w:r>
        <w:t>и и безопасности людей на водных объектах, предусматривающее в том числе:</w:t>
      </w:r>
    </w:p>
    <w:p w:rsidR="00AD2D0C" w:rsidRDefault="00986BD6">
      <w:pPr>
        <w:pStyle w:val="a3"/>
      </w:pPr>
      <w:r>
        <w:t>укрепление организационно-правовых основ и совершенствование механизмов взаимодействия с иностранными государствами и международными организациями, в том числе в рамках межгосударств</w:t>
      </w:r>
      <w:r>
        <w:t>енных объединений и форумов,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AD2D0C" w:rsidRDefault="00986BD6">
      <w:pPr>
        <w:pStyle w:val="a3"/>
      </w:pPr>
      <w:r>
        <w:t>изучение опыта применения иностранными государствами и междунар</w:t>
      </w:r>
      <w:r>
        <w:t>одными организациями передовых технологий и подходов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AD2D0C" w:rsidRDefault="00986BD6">
      <w:pPr>
        <w:pStyle w:val="a3"/>
      </w:pPr>
      <w:r>
        <w:lastRenderedPageBreak/>
        <w:t>продвижение на международной арене россий</w:t>
      </w:r>
      <w:r>
        <w:t>ских технологий и подходов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антикризисного управления в условиях чрезвычайных ситуаций;</w:t>
      </w:r>
    </w:p>
    <w:p w:rsidR="00AD2D0C" w:rsidRDefault="00986BD6">
      <w:pPr>
        <w:pStyle w:val="a3"/>
      </w:pPr>
      <w:r>
        <w:t>обеспеч</w:t>
      </w:r>
      <w:r>
        <w:t>ение участия органов управления гражданской обороной и сил гражданской обороны, органов управления и сил единой государственной системы предупреждения и ликвидации чрезвычайных ситуаций в деятельности, осуществляемой соответствующими органами и организация</w:t>
      </w:r>
      <w:r>
        <w:t>ми системы Организации Объединенных Наций, Международной организацией гражданской обороны, другими международными организациями и межгосударственными объединениями в области гражданской обороны, защиты населения и территорий от чрезвычайных ситуаций, обесп</w:t>
      </w:r>
      <w:r>
        <w:t>ечения пожарной безопасности и безопасности людей на водных объектах.</w:t>
      </w:r>
    </w:p>
    <w:p w:rsidR="00AD2D0C" w:rsidRDefault="00AD2D0C">
      <w:pPr>
        <w:pStyle w:val="a3"/>
      </w:pPr>
    </w:p>
    <w:p w:rsidR="00AD2D0C" w:rsidRDefault="00986BD6">
      <w:pPr>
        <w:pStyle w:val="1"/>
      </w:pPr>
      <w:bookmarkStart w:id="31" w:name="anchor1400"/>
      <w:bookmarkEnd w:id="31"/>
      <w:r>
        <w:t>IV. Оценка результатов деятельности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</w:t>
      </w:r>
      <w:r>
        <w:t>й на водных объектах и контроль за реализацией настоящей Стратегии</w:t>
      </w:r>
    </w:p>
    <w:p w:rsidR="00AD2D0C" w:rsidRDefault="00AD2D0C">
      <w:pPr>
        <w:pStyle w:val="a3"/>
      </w:pPr>
    </w:p>
    <w:p w:rsidR="00AD2D0C" w:rsidRDefault="00986BD6">
      <w:pPr>
        <w:pStyle w:val="a3"/>
      </w:pPr>
      <w:bookmarkStart w:id="32" w:name="anchor1018"/>
      <w:bookmarkEnd w:id="32"/>
      <w:r>
        <w:t>18. Оценка результатов деятельности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</w:t>
      </w:r>
      <w:r>
        <w:t>а водных объектах и контроль за реализацией настоящей Стратегии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D2D0C" w:rsidRDefault="00986BD6">
      <w:pPr>
        <w:pStyle w:val="a3"/>
      </w:pPr>
      <w:bookmarkStart w:id="33" w:name="anchor1019"/>
      <w:bookmarkEnd w:id="33"/>
      <w:r>
        <w:t>19. Механизмом оценки результатов деятельнос</w:t>
      </w:r>
      <w:r>
        <w:t>ти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сравнение текущих и прогнозно-плановых значений индикаторов (показателей).</w:t>
      </w:r>
    </w:p>
    <w:p w:rsidR="00AD2D0C" w:rsidRDefault="00986BD6">
      <w:pPr>
        <w:pStyle w:val="a3"/>
      </w:pPr>
      <w:bookmarkStart w:id="34" w:name="anchor1020"/>
      <w:bookmarkEnd w:id="34"/>
      <w:r>
        <w:t>20. Текущими значениями индикаторов (показателей) являются данные официального статистического наблюдения, а также информация, содержащаяся в докладе о состоянии гражданской обороны Российской Федерации и государственном докладе о состоянии защиты населен</w:t>
      </w:r>
      <w:r>
        <w:t>ия и территорий Российской Федерации от чрезвычайных ситуаций природного и техногенного характера.</w:t>
      </w:r>
    </w:p>
    <w:p w:rsidR="00AD2D0C" w:rsidRDefault="00986BD6">
      <w:pPr>
        <w:pStyle w:val="a3"/>
      </w:pPr>
      <w:bookmarkStart w:id="35" w:name="anchor1021"/>
      <w:bookmarkEnd w:id="35"/>
      <w:r>
        <w:t>21. В качестве прогнозно-плановых значений индикаторов (показателей) рассматриваются:</w:t>
      </w:r>
    </w:p>
    <w:p w:rsidR="00AD2D0C" w:rsidRDefault="00986BD6">
      <w:pPr>
        <w:pStyle w:val="a3"/>
      </w:pPr>
      <w:bookmarkStart w:id="36" w:name="anchor10211"/>
      <w:bookmarkEnd w:id="36"/>
      <w:r>
        <w:t>а) в области гражданской обороны:</w:t>
      </w:r>
    </w:p>
    <w:p w:rsidR="00AD2D0C" w:rsidRDefault="00986BD6">
      <w:pPr>
        <w:pStyle w:val="a3"/>
      </w:pPr>
      <w:r>
        <w:t>значения показателей обеспеченности н</w:t>
      </w:r>
      <w:r>
        <w:t>аселения защитными сооружениями гражданской обороны, средствами индивидуальной защиты, медицинскими средствами индивидуальной защиты, включенных в перечень показателей состояния национальной безопасности Российской Федерации;</w:t>
      </w:r>
    </w:p>
    <w:p w:rsidR="00AD2D0C" w:rsidRDefault="00986BD6">
      <w:pPr>
        <w:pStyle w:val="a3"/>
      </w:pPr>
      <w:r>
        <w:t>доведение уровня готовности си</w:t>
      </w:r>
      <w:r>
        <w:t>стем оповещения населения об опасностях, возникающих при военных конфликтах или вследствие этих конфликтов, а также при чрезвычайных ситуациях или при угрозе их возникновения, до 100 процентов;</w:t>
      </w:r>
    </w:p>
    <w:p w:rsidR="00AD2D0C" w:rsidRDefault="00986BD6">
      <w:pPr>
        <w:pStyle w:val="a3"/>
      </w:pPr>
      <w:r>
        <w:t>доведение доли современных образцов техники и вооружения в спа</w:t>
      </w:r>
      <w:r>
        <w:t>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 в общем количестве образцов техники и вооружения до 81 процента;</w:t>
      </w:r>
    </w:p>
    <w:p w:rsidR="00AD2D0C" w:rsidRDefault="00986BD6">
      <w:pPr>
        <w:pStyle w:val="a3"/>
      </w:pPr>
      <w:bookmarkStart w:id="37" w:name="anchor10212"/>
      <w:bookmarkEnd w:id="37"/>
      <w:r>
        <w:t xml:space="preserve">б) в области защиты </w:t>
      </w:r>
      <w:r>
        <w:t>населения и территорий от чрезвычайных ситуаций:</w:t>
      </w:r>
    </w:p>
    <w:p w:rsidR="00AD2D0C" w:rsidRDefault="00986BD6">
      <w:pPr>
        <w:pStyle w:val="a3"/>
      </w:pPr>
      <w:r>
        <w:t>снижение количества чрезвычайных ситуаций не менее чем на 25 процентов по сравнению с показателем 2019 года;</w:t>
      </w:r>
    </w:p>
    <w:p w:rsidR="00AD2D0C" w:rsidRDefault="00986BD6">
      <w:pPr>
        <w:pStyle w:val="a3"/>
      </w:pPr>
      <w:r>
        <w:t>снижение числа погибших при чрезвычайных ситуациях не менее чем на 25 процентов по сравнению с пок</w:t>
      </w:r>
      <w:r>
        <w:t>азателем 2019 года;</w:t>
      </w:r>
    </w:p>
    <w:p w:rsidR="00AD2D0C" w:rsidRDefault="00986BD6">
      <w:pPr>
        <w:pStyle w:val="a3"/>
      </w:pPr>
      <w:r>
        <w:t>снижение размера прямого материального ущерба от чрезвычайных ситуаций не менее чем на 6 процентов по сравнению с показателем 2019 года;</w:t>
      </w:r>
    </w:p>
    <w:p w:rsidR="00AD2D0C" w:rsidRDefault="00986BD6">
      <w:pPr>
        <w:pStyle w:val="a3"/>
      </w:pPr>
      <w:r>
        <w:t xml:space="preserve">доведение уровня укомплектованности поисково-спасательных формирований средствами ведения </w:t>
      </w:r>
      <w:r>
        <w:t>аварийно-спасательных работ до 97 процентов;</w:t>
      </w:r>
    </w:p>
    <w:p w:rsidR="00AD2D0C" w:rsidRDefault="00986BD6">
      <w:pPr>
        <w:pStyle w:val="a3"/>
      </w:pPr>
      <w:r>
        <w:lastRenderedPageBreak/>
        <w:t>доведение уровня технической оснащенности инфраструктуры системы управления Министерства Российской Федерации по делам гражданской обороны, чрезвычайным ситуациям и ликвидации последствий стихийных бедствий совр</w:t>
      </w:r>
      <w:r>
        <w:t>еменными средствами обеспечения управления до 83,5 процента;</w:t>
      </w:r>
    </w:p>
    <w:p w:rsidR="00AD2D0C" w:rsidRDefault="00986BD6">
      <w:pPr>
        <w:pStyle w:val="a3"/>
      </w:pPr>
      <w:bookmarkStart w:id="38" w:name="anchor10213"/>
      <w:bookmarkEnd w:id="38"/>
      <w:r>
        <w:t>в) в области обеспечения пожарной безопасности:</w:t>
      </w:r>
    </w:p>
    <w:p w:rsidR="00AD2D0C" w:rsidRDefault="00986BD6">
      <w:pPr>
        <w:pStyle w:val="a3"/>
      </w:pPr>
      <w:r>
        <w:t>снижение количества зарегистрированных пожаров не менее чем на 10 процентов по сравнению с показателем 2019 года;</w:t>
      </w:r>
    </w:p>
    <w:p w:rsidR="00AD2D0C" w:rsidRDefault="00986BD6">
      <w:pPr>
        <w:pStyle w:val="a3"/>
      </w:pPr>
      <w:r>
        <w:t>снижение числа погибших при пожар</w:t>
      </w:r>
      <w:r>
        <w:t>ах не менее чем на 25 процентов по сравнению с показателем 2019 года;</w:t>
      </w:r>
    </w:p>
    <w:p w:rsidR="00AD2D0C" w:rsidRDefault="00986BD6">
      <w:pPr>
        <w:pStyle w:val="a3"/>
      </w:pPr>
      <w:r>
        <w:t>доведение уровня укомплектованности подразделений федеральной противопожарной службы Государственной противопожарной службы пожарной техникой, средствами защиты и пожарно-техническим воо</w:t>
      </w:r>
      <w:r>
        <w:t>ружением до 98 процентов;</w:t>
      </w:r>
    </w:p>
    <w:p w:rsidR="00AD2D0C" w:rsidRDefault="00986BD6">
      <w:pPr>
        <w:pStyle w:val="a3"/>
      </w:pPr>
      <w:bookmarkStart w:id="39" w:name="anchor10214"/>
      <w:bookmarkEnd w:id="39"/>
      <w:r>
        <w:t>г) в области обеспечения безопасности людей на водных объектах:</w:t>
      </w:r>
    </w:p>
    <w:p w:rsidR="00AD2D0C" w:rsidRDefault="00986BD6">
      <w:pPr>
        <w:pStyle w:val="a3"/>
      </w:pPr>
      <w:r>
        <w:t>снижение количества происшествий на водных объектах не менее чем на 20 процентов по сравнению с показателем 2019 года;</w:t>
      </w:r>
    </w:p>
    <w:p w:rsidR="00AD2D0C" w:rsidRDefault="00986BD6">
      <w:pPr>
        <w:pStyle w:val="a3"/>
      </w:pPr>
      <w:r>
        <w:t>снижение числа погибших на водных объектах не м</w:t>
      </w:r>
      <w:r>
        <w:t>енее чем на 18 процентов по сравнению с показателем 2019 года.</w:t>
      </w:r>
    </w:p>
    <w:p w:rsidR="00AD2D0C" w:rsidRDefault="00AD2D0C">
      <w:pPr>
        <w:pStyle w:val="a3"/>
      </w:pPr>
    </w:p>
    <w:p w:rsidR="00AD2D0C" w:rsidRDefault="00986BD6">
      <w:pPr>
        <w:pStyle w:val="1"/>
      </w:pPr>
      <w:bookmarkStart w:id="40" w:name="anchor1500"/>
      <w:bookmarkEnd w:id="40"/>
      <w:r>
        <w:t>V. Этапы реализации настоящей Стратегии, источники и механизмы ресурсного обеспечения мероприятий по ее реализации</w:t>
      </w:r>
    </w:p>
    <w:p w:rsidR="00AD2D0C" w:rsidRDefault="00AD2D0C">
      <w:pPr>
        <w:pStyle w:val="a3"/>
      </w:pPr>
    </w:p>
    <w:p w:rsidR="00AD2D0C" w:rsidRDefault="00986BD6">
      <w:pPr>
        <w:pStyle w:val="a3"/>
      </w:pPr>
      <w:bookmarkStart w:id="41" w:name="anchor1022"/>
      <w:bookmarkEnd w:id="41"/>
      <w:r>
        <w:t>22. Настоящую Стратегию предусматривается реализовать в два этапа:</w:t>
      </w:r>
    </w:p>
    <w:p w:rsidR="00AD2D0C" w:rsidRDefault="00986BD6">
      <w:pPr>
        <w:pStyle w:val="a3"/>
      </w:pPr>
      <w:bookmarkStart w:id="42" w:name="anchor10221"/>
      <w:bookmarkEnd w:id="42"/>
      <w:r>
        <w:t>а) на пер</w:t>
      </w:r>
      <w:r>
        <w:t>вом этапе (до 2024 года) осуществляются:</w:t>
      </w:r>
    </w:p>
    <w:p w:rsidR="00AD2D0C" w:rsidRDefault="00986BD6">
      <w:pPr>
        <w:pStyle w:val="a3"/>
      </w:pPr>
      <w:r>
        <w:t>издание нормативных правовых актов, методических рекомендаций и реализация организационных мер в области развития гражданской обороны, защиты населения и территорий от чрезвычайных ситуаций, обеспечения пожарной без</w:t>
      </w:r>
      <w:r>
        <w:t>опасности и безопасности людей на водных объектах;</w:t>
      </w:r>
    </w:p>
    <w:p w:rsidR="00AD2D0C" w:rsidRDefault="00986BD6">
      <w:pPr>
        <w:pStyle w:val="a3"/>
      </w:pPr>
      <w:r>
        <w:t>реализация государственных программ Российской Федерации и государственных программ субъектов Российской Федерации, предусматривающих мероприятия, направленные на решение задач в области гражданской оборон</w:t>
      </w:r>
      <w:r>
        <w:t>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AD2D0C" w:rsidRDefault="00986BD6">
      <w:pPr>
        <w:pStyle w:val="a3"/>
      </w:pPr>
      <w:bookmarkStart w:id="43" w:name="anchor10222"/>
      <w:bookmarkEnd w:id="43"/>
      <w:r>
        <w:t>б) на втором этапе (до 2030 года) осуществляются:</w:t>
      </w:r>
    </w:p>
    <w:p w:rsidR="00AD2D0C" w:rsidRDefault="00986BD6">
      <w:pPr>
        <w:pStyle w:val="a3"/>
      </w:pPr>
      <w:r>
        <w:t>реализация мер, направленных на дальнейшее повышение эффективности деяте</w:t>
      </w:r>
      <w:r>
        <w:t>льности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AD2D0C" w:rsidRDefault="00986BD6">
      <w:pPr>
        <w:pStyle w:val="a3"/>
      </w:pPr>
      <w:r>
        <w:t>внедрение современных и перспективных спасательных технологий и образцов спас</w:t>
      </w:r>
      <w:r>
        <w:t>ательной техники.</w:t>
      </w:r>
    </w:p>
    <w:p w:rsidR="00AD2D0C" w:rsidRDefault="00986BD6">
      <w:pPr>
        <w:pStyle w:val="a3"/>
      </w:pPr>
      <w:bookmarkStart w:id="44" w:name="anchor1023"/>
      <w:bookmarkEnd w:id="44"/>
      <w:r>
        <w:t>23. Источниками ресурсного обеспечения мероприятий по реализации настоящей Стратегии являются федеральный бюджет, бюджеты субъектов Российской Федерации и местные бюджеты.</w:t>
      </w:r>
    </w:p>
    <w:p w:rsidR="00AD2D0C" w:rsidRDefault="00986BD6">
      <w:pPr>
        <w:pStyle w:val="a3"/>
      </w:pPr>
      <w:bookmarkStart w:id="45" w:name="anchor1024"/>
      <w:bookmarkEnd w:id="45"/>
      <w:r>
        <w:t>24. Механизмами ресурсного обеспечения мероприятий по реализации н</w:t>
      </w:r>
      <w:r>
        <w:t>астоящей Стратегии являются государственные программы Российской Федерации, государственные программы субъектов Российской Федерации и муниципальные программы, предусматривающие мероприятия, направленные на решение задач в области развития гражданской обор</w:t>
      </w:r>
      <w:r>
        <w:t>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AD2D0C" w:rsidRDefault="00AD2D0C">
      <w:pPr>
        <w:pStyle w:val="a3"/>
      </w:pPr>
    </w:p>
    <w:p w:rsidR="00AD2D0C" w:rsidRDefault="00986BD6">
      <w:pPr>
        <w:pStyle w:val="1"/>
      </w:pPr>
      <w:bookmarkStart w:id="46" w:name="anchor1600"/>
      <w:bookmarkEnd w:id="46"/>
      <w:r>
        <w:t>VI. Ожидаемые результаты реализации настоящей Стратегии</w:t>
      </w:r>
    </w:p>
    <w:p w:rsidR="00AD2D0C" w:rsidRDefault="00AD2D0C">
      <w:pPr>
        <w:pStyle w:val="a3"/>
      </w:pPr>
    </w:p>
    <w:p w:rsidR="00AD2D0C" w:rsidRDefault="00986BD6">
      <w:pPr>
        <w:pStyle w:val="a3"/>
      </w:pPr>
      <w:bookmarkStart w:id="47" w:name="anchor1025"/>
      <w:bookmarkEnd w:id="47"/>
      <w:r>
        <w:t>25. Результатами реализации настоящей Стратегии должны стать п</w:t>
      </w:r>
      <w:r>
        <w:t xml:space="preserve">овышение уровня защищенности населения, материальных и культурных ценностей за счет использования </w:t>
      </w:r>
      <w:r>
        <w:lastRenderedPageBreak/>
        <w:t>современных и перспективных спасательных технологий и образцов спасательной техники и достижение такого уровня реагирования органов управления гражданской обо</w:t>
      </w:r>
      <w:r>
        <w:t>роной и сил гражданской обороны, органов управления и сил единой государственной системы предупреждения и ликвидации чрезвычайных ситуаций, который будет соответствовать прогнозируемым опасностям, возникающим при военных конфликтах или вследствие этих конф</w:t>
      </w:r>
      <w:r>
        <w:t>ликтов, и рискам возникновения чрезвычайных ситуаций, пожаров и происшествий на водных объектах.</w:t>
      </w:r>
    </w:p>
    <w:p w:rsidR="00AD2D0C" w:rsidRDefault="00AD2D0C">
      <w:pPr>
        <w:pStyle w:val="a3"/>
      </w:pPr>
    </w:p>
    <w:p w:rsidR="00AD2D0C" w:rsidRDefault="00986BD6">
      <w:pPr>
        <w:pStyle w:val="1"/>
      </w:pPr>
      <w:bookmarkStart w:id="48" w:name="anchor1700"/>
      <w:bookmarkEnd w:id="48"/>
      <w:r>
        <w:t>VII. Задачи, функции и порядок взаимодействия федеральных органов исполнительной власти, органов исполнительной власти субъектов Российской Федерации, органов</w:t>
      </w:r>
      <w:r>
        <w:t xml:space="preserve"> местного самоуправления и организаций при реализации настоящей Стратегии</w:t>
      </w:r>
    </w:p>
    <w:p w:rsidR="00AD2D0C" w:rsidRDefault="00AD2D0C">
      <w:pPr>
        <w:pStyle w:val="a3"/>
      </w:pPr>
    </w:p>
    <w:p w:rsidR="00AD2D0C" w:rsidRDefault="00986BD6">
      <w:pPr>
        <w:pStyle w:val="a3"/>
      </w:pPr>
      <w:bookmarkStart w:id="49" w:name="anchor1026"/>
      <w:bookmarkEnd w:id="49"/>
      <w:r>
        <w:t xml:space="preserve">26. Задачами федеральных органов исполнительной власти, органов исполнительной власти субъектов Российской Федерации, органов местного самоуправления при реализации настоящей </w:t>
      </w:r>
      <w:r>
        <w:t>Стратегии являются планирование и координация деятельности названных органов, направленной на повышение эффективности решения задач в области развития гражданской обороны, защиты населения и территорий от чрезвычайных ситуаций, обеспечения пожарной безопас</w:t>
      </w:r>
      <w:r>
        <w:t>ности и безопасности людей на водных объектах.</w:t>
      </w:r>
    </w:p>
    <w:p w:rsidR="00AD2D0C" w:rsidRDefault="00986BD6">
      <w:pPr>
        <w:pStyle w:val="a3"/>
      </w:pPr>
      <w:bookmarkStart w:id="50" w:name="anchor1027"/>
      <w:bookmarkEnd w:id="50"/>
      <w:r>
        <w:t>27. Основными функциями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реализации настоящей Стратегии</w:t>
      </w:r>
      <w:r>
        <w:t xml:space="preserve"> являются:</w:t>
      </w:r>
    </w:p>
    <w:p w:rsidR="00AD2D0C" w:rsidRDefault="00986BD6">
      <w:pPr>
        <w:pStyle w:val="a3"/>
      </w:pPr>
      <w:bookmarkStart w:id="51" w:name="anchor10271"/>
      <w:bookmarkEnd w:id="51"/>
      <w:r>
        <w:t>а) разработка государственных программ Российской Федерации, государственных программ субъектов Российской Федерации и муниципальных программ, предусматривающих мероприятия, направленные на решение задач в области развития гражданской обороны, з</w:t>
      </w:r>
      <w:r>
        <w:t>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AD2D0C" w:rsidRDefault="00986BD6">
      <w:pPr>
        <w:pStyle w:val="a3"/>
      </w:pPr>
      <w:bookmarkStart w:id="52" w:name="anchor10272"/>
      <w:bookmarkEnd w:id="52"/>
      <w:r>
        <w:t>б) обмен опытом и новыми технологиями в области обеспечения безопасности жизнедеятельности населения;</w:t>
      </w:r>
    </w:p>
    <w:p w:rsidR="00AD2D0C" w:rsidRDefault="00986BD6">
      <w:pPr>
        <w:pStyle w:val="a3"/>
      </w:pPr>
      <w:bookmarkStart w:id="53" w:name="anchor10273"/>
      <w:bookmarkEnd w:id="53"/>
      <w:r>
        <w:t>в) организация совместны</w:t>
      </w:r>
      <w:r>
        <w:t>х научно-исследовательских работ, направленных на развитие спасательных технологий, технических средств и экипировки.</w:t>
      </w:r>
    </w:p>
    <w:p w:rsidR="00AD2D0C" w:rsidRDefault="00986BD6">
      <w:pPr>
        <w:pStyle w:val="a3"/>
      </w:pPr>
      <w:bookmarkStart w:id="54" w:name="anchor1028"/>
      <w:bookmarkEnd w:id="54"/>
      <w:r>
        <w:t>28. Взаимодействие федеральных органов исполнительной власти, органов исполнительной власти субъектов Российской Федерации, органов местно</w:t>
      </w:r>
      <w:r>
        <w:t>го самоуправления и организаций в целях реализации настоящей Стратегии осуществляется:</w:t>
      </w:r>
    </w:p>
    <w:p w:rsidR="00AD2D0C" w:rsidRDefault="00986BD6">
      <w:pPr>
        <w:pStyle w:val="a3"/>
      </w:pPr>
      <w:bookmarkStart w:id="55" w:name="anchor10281"/>
      <w:bookmarkEnd w:id="55"/>
      <w:r>
        <w:t>а) в рамках решения основных задач в области развития гражданской обороны, защиты населения и территорий от чрезвычайных ситуаций, обеспечения пожарной безопасности и бе</w:t>
      </w:r>
      <w:r>
        <w:t>зопасности людей на водных объектах в порядке, установленном нормативными правовыми актами Российской Федерации;</w:t>
      </w:r>
    </w:p>
    <w:p w:rsidR="00AD2D0C" w:rsidRDefault="00986BD6">
      <w:pPr>
        <w:pStyle w:val="a3"/>
      </w:pPr>
      <w:bookmarkStart w:id="56" w:name="anchor10282"/>
      <w:bookmarkEnd w:id="56"/>
      <w:r>
        <w:t>б) при подготовке докладов о состоянии гражданской обороны в Российской Федерации, ежегодных государственных докладов о состоянии защиты населе</w:t>
      </w:r>
      <w:r>
        <w:t>ния и территорий Российской Федерации от чрезвычайных ситуаций природного и техногенного характера.</w:t>
      </w:r>
    </w:p>
    <w:p w:rsidR="00AD2D0C" w:rsidRDefault="00986BD6">
      <w:pPr>
        <w:pStyle w:val="a3"/>
      </w:pPr>
      <w:bookmarkStart w:id="57" w:name="anchor1029"/>
      <w:bookmarkEnd w:id="57"/>
      <w:r>
        <w:t>29. Корректировка настоящей Стратегии осуществляется на основании результатов мониторинга ее реализации исходя из изменений государственной политики Российс</w:t>
      </w:r>
      <w:r>
        <w:t>кой Федерации в области гражданской обороны, защиты населения и территорий от чрезвычайных ситуаций, пожарной безопасности и с учетом изменений политического и социально-экономического характера, оказывающих влияние на состояние гражданской обороны, защиты</w:t>
      </w:r>
      <w:r>
        <w:t xml:space="preserve"> населения и территорий от чрезвычайных ситуаций, пожарной безопасности и безопасности людей на водных объектах.</w:t>
      </w:r>
    </w:p>
    <w:p w:rsidR="00AD2D0C" w:rsidRDefault="00AD2D0C">
      <w:pPr>
        <w:pStyle w:val="a3"/>
      </w:pPr>
    </w:p>
    <w:sectPr w:rsidR="00AD2D0C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6BD6">
      <w:r>
        <w:separator/>
      </w:r>
    </w:p>
  </w:endnote>
  <w:endnote w:type="continuationSeparator" w:id="0">
    <w:p w:rsidR="00000000" w:rsidRDefault="0098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461DDB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461DDB" w:rsidRDefault="00986BD6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461DDB" w:rsidRDefault="00986BD6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461DDB" w:rsidRDefault="00986BD6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7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6BD6">
      <w:r>
        <w:rPr>
          <w:color w:val="000000"/>
        </w:rPr>
        <w:separator/>
      </w:r>
    </w:p>
  </w:footnote>
  <w:footnote w:type="continuationSeparator" w:id="0">
    <w:p w:rsidR="00000000" w:rsidRDefault="0098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DB" w:rsidRDefault="00986BD6">
    <w:pPr>
      <w:pStyle w:val="Standard"/>
      <w:ind w:firstLine="0"/>
      <w:jc w:val="left"/>
    </w:pPr>
    <w:r>
      <w:t>Указ Президента РФ от 16 октября 2019 г. N 501 "О Стратегии в области развития гражданской оборон...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D2D0C"/>
    <w:rsid w:val="00986BD6"/>
    <w:rsid w:val="00A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96C04-1D12-495D-A612-D4A57CFD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anchor0" TargetMode="External"/><Relationship Id="rId13" Type="http://schemas.openxmlformats.org/officeDocument/2006/relationships/hyperlink" Target="http://sps.rkomi.local:8082/document/redirect/74566588/0" TargetMode="External"/><Relationship Id="rId18" Type="http://schemas.openxmlformats.org/officeDocument/2006/relationships/hyperlink" Target="http://sps.rkomi.local:8082/document/redirect/70830556/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#anchor1000" TargetMode="External"/><Relationship Id="rId12" Type="http://schemas.openxmlformats.org/officeDocument/2006/relationships/hyperlink" Target="http://sps.rkomi.local:8082/document/redirect/74566588/1000" TargetMode="External"/><Relationship Id="rId17" Type="http://schemas.openxmlformats.org/officeDocument/2006/relationships/hyperlink" Target="http://sps.rkomi.local:8082/document/redirect/401425792/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s.rkomi.local:8082/document/redirect/10103000/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ps.rkomi.local:8082/document/redirect/70684666/0" TargetMode="External"/><Relationship Id="rId11" Type="http://schemas.openxmlformats.org/officeDocument/2006/relationships/hyperlink" Target="http://sps.rkomi.local:8082/document/redirect/401538014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ps.rkomi.local:8082/document/redirect/74641726/0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ps.rkomi.local:8082/document/redirect/74797232/1000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sps.rkomi.local:8082/document/redirect/74641726/1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2022-03-29T06:57:00Z</dcterms:created>
  <dcterms:modified xsi:type="dcterms:W3CDTF">2022-03-29T06:57:00Z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