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3B" w:rsidRDefault="00650A60">
      <w:pPr>
        <w:pStyle w:val="1"/>
      </w:pPr>
      <w:bookmarkStart w:id="0" w:name="anchor0"/>
      <w:bookmarkEnd w:id="0"/>
      <w:r>
        <w:t>Постановление Правительства РФ от 29 ноября 1999 г. N 1309 "</w:t>
      </w:r>
      <w:bookmarkStart w:id="1" w:name="_GoBack"/>
      <w:r>
        <w:t>О порядке создания убежищ и иных объектов гражданской обороны</w:t>
      </w:r>
      <w:bookmarkEnd w:id="1"/>
      <w:r>
        <w:t>"</w:t>
      </w:r>
    </w:p>
    <w:p w:rsidR="00000000" w:rsidRDefault="00650A60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a"/>
      </w:pPr>
      <w:r>
        <w:lastRenderedPageBreak/>
        <w:t>С изменениями и дополнениями от:</w:t>
      </w:r>
    </w:p>
    <w:p w:rsidR="00D8223B" w:rsidRDefault="00650A60">
      <w:pPr>
        <w:pStyle w:val="aa"/>
      </w:pPr>
      <w:r>
        <w:t>18 июля 2015 г., 30 октября</w:t>
      </w:r>
      <w:r>
        <w:t xml:space="preserve"> 2019 г.</w:t>
      </w:r>
    </w:p>
    <w:p w:rsidR="00000000" w:rsidRDefault="00650A60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8223B" w:rsidRDefault="00D8223B">
      <w:pPr>
        <w:pStyle w:val="a3"/>
      </w:pPr>
    </w:p>
    <w:p w:rsidR="00D8223B" w:rsidRDefault="00650A60">
      <w:pPr>
        <w:pStyle w:val="a3"/>
      </w:pPr>
      <w:r>
        <w:t xml:space="preserve">В соответствии со </w:t>
      </w:r>
      <w:hyperlink r:id="rId8" w:history="1">
        <w: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D8223B" w:rsidRDefault="00650A60">
      <w:pPr>
        <w:pStyle w:val="a3"/>
      </w:pPr>
      <w:bookmarkStart w:id="2" w:name="anchor1"/>
      <w:bookmarkEnd w:id="2"/>
      <w:r>
        <w:t xml:space="preserve">1. Утвердить прилагаемый </w:t>
      </w:r>
      <w:hyperlink r:id="rId9" w:history="1">
        <w:r>
          <w:t>Порядок</w:t>
        </w:r>
      </w:hyperlink>
      <w:r>
        <w:t xml:space="preserve"> создания убежищ и иных объектов гражданской обороны.</w:t>
      </w:r>
    </w:p>
    <w:p w:rsidR="00D8223B" w:rsidRDefault="00650A60">
      <w:pPr>
        <w:pStyle w:val="a3"/>
      </w:pPr>
      <w:bookmarkStart w:id="3" w:name="anchor20"/>
      <w:bookmarkEnd w:id="3"/>
      <w:r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</w:t>
      </w:r>
      <w:r>
        <w:t>троль за созданием и поддержанием в готовности убежищ и иных объектов гражданской обороны.</w:t>
      </w:r>
    </w:p>
    <w:p w:rsidR="00D8223B" w:rsidRDefault="00D8223B">
      <w:pPr>
        <w:pStyle w:val="a3"/>
      </w:pPr>
    </w:p>
    <w:p w:rsidR="00D8223B" w:rsidRDefault="00650A60">
      <w:pPr>
        <w:pStyle w:val="a7"/>
      </w:pPr>
      <w:r>
        <w:t>Председатель Правительства</w:t>
      </w:r>
    </w:p>
    <w:tbl>
      <w:tblPr>
        <w:tblW w:w="1621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8"/>
        <w:gridCol w:w="5386"/>
      </w:tblGrid>
      <w:tr w:rsidR="00D8223B">
        <w:tblPrEx>
          <w:tblCellMar>
            <w:top w:w="0" w:type="dxa"/>
            <w:bottom w:w="0" w:type="dxa"/>
          </w:tblCellMar>
        </w:tblPrEx>
        <w:tc>
          <w:tcPr>
            <w:tcW w:w="10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23B" w:rsidRDefault="00650A60">
            <w:pPr>
              <w:pStyle w:val="a7"/>
            </w:pPr>
            <w:r>
              <w:t>Российской Федерации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23B" w:rsidRDefault="00650A60">
            <w:pPr>
              <w:pStyle w:val="a3"/>
              <w:ind w:firstLine="0"/>
              <w:jc w:val="right"/>
            </w:pPr>
            <w:r>
              <w:t>В.Путин</w:t>
            </w:r>
          </w:p>
        </w:tc>
      </w:tr>
    </w:tbl>
    <w:p w:rsidR="00D8223B" w:rsidRDefault="00D8223B">
      <w:pPr>
        <w:pStyle w:val="a3"/>
      </w:pPr>
    </w:p>
    <w:p w:rsidR="00D8223B" w:rsidRDefault="00650A60">
      <w:pPr>
        <w:pStyle w:val="1"/>
      </w:pPr>
      <w:bookmarkStart w:id="4" w:name="anchor1000"/>
      <w:bookmarkEnd w:id="4"/>
      <w:r>
        <w:t xml:space="preserve">Порядок создания убежищ и иных объектов гражданской обороны (утв. </w:t>
      </w:r>
      <w:hyperlink r:id="rId10" w:history="1">
        <w:r>
          <w:t>постановлением</w:t>
        </w:r>
      </w:hyperlink>
      <w:r>
        <w:t xml:space="preserve"> Правительства РФ от 29 ноября 1999 г. N 1309)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a"/>
      </w:pPr>
      <w:r>
        <w:lastRenderedPageBreak/>
        <w:t>С изменениями и дополнениями от:</w:t>
      </w:r>
    </w:p>
    <w:p w:rsidR="00D8223B" w:rsidRDefault="00650A60">
      <w:pPr>
        <w:pStyle w:val="aa"/>
      </w:pPr>
      <w:r>
        <w:t>18 июля 2015 г., 30 октября 2019 г.</w:t>
      </w:r>
    </w:p>
    <w:p w:rsidR="00000000" w:rsidRDefault="00650A60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8223B" w:rsidRDefault="00650A6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D8223B" w:rsidRDefault="00650A60">
      <w:pPr>
        <w:pStyle w:val="a5"/>
      </w:pPr>
      <w:r>
        <w:t xml:space="preserve">См. </w:t>
      </w:r>
      <w:hyperlink r:id="rId11" w:history="1">
        <w:r>
          <w:t>Порядок</w:t>
        </w:r>
      </w:hyperlink>
      <w:r>
        <w:t xml:space="preserve"> содержания и использования защитных сооруже</w:t>
      </w:r>
      <w:r>
        <w:t xml:space="preserve">ний гражданской обороны в мирное время, утвержденный </w:t>
      </w:r>
      <w:hyperlink r:id="rId12" w:history="1">
        <w:r>
          <w:t>приказом</w:t>
        </w:r>
      </w:hyperlink>
      <w:r>
        <w:t xml:space="preserve"> МЧС РФ от 21 июля 2005 г. N 575</w:t>
      </w:r>
    </w:p>
    <w:p w:rsidR="00D8223B" w:rsidRDefault="00650A60">
      <w:pPr>
        <w:pStyle w:val="a5"/>
      </w:pPr>
      <w:r>
        <w:t xml:space="preserve">См. </w:t>
      </w:r>
      <w:hyperlink r:id="rId13" w:history="1">
        <w:r>
          <w:t>Правила</w:t>
        </w:r>
      </w:hyperlink>
      <w:r>
        <w:t xml:space="preserve"> э</w:t>
      </w:r>
      <w:r>
        <w:t xml:space="preserve">ксплуатации защитных сооружений гражданской обороны, утвержденные </w:t>
      </w:r>
      <w:hyperlink r:id="rId14" w:history="1">
        <w:r>
          <w:t>приказом</w:t>
        </w:r>
      </w:hyperlink>
      <w:r>
        <w:t xml:space="preserve"> МЧС РФ от 15 декабря 2002 г. N 583</w:t>
      </w:r>
    </w:p>
    <w:p w:rsidR="00D8223B" w:rsidRDefault="00650A60">
      <w:pPr>
        <w:pStyle w:val="a5"/>
      </w:pPr>
      <w:r>
        <w:t xml:space="preserve">См. Строительные нормы и правила </w:t>
      </w:r>
      <w:hyperlink r:id="rId15" w:history="1">
        <w:r>
          <w:t>СНиП II-11-77</w:t>
        </w:r>
      </w:hyperlink>
      <w:r>
        <w:t xml:space="preserve">* "Защитные сооружения гражданской обороны", утвержденные </w:t>
      </w:r>
      <w:hyperlink r:id="rId16" w:history="1">
        <w:r>
          <w:t>постановлением</w:t>
        </w:r>
      </w:hyperlink>
      <w:r>
        <w:t xml:space="preserve"> Госстроя СССР от 13 октября 1977 г. N 158</w:t>
      </w:r>
    </w:p>
    <w:p w:rsidR="00D8223B" w:rsidRDefault="00D8223B">
      <w:pPr>
        <w:pStyle w:val="a5"/>
      </w:pP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3"/>
      </w:pPr>
      <w:bookmarkStart w:id="5" w:name="anchor21"/>
      <w:bookmarkEnd w:id="5"/>
      <w:r>
        <w:lastRenderedPageBreak/>
        <w:t xml:space="preserve">1. Настоящий Порядок </w:t>
      </w:r>
      <w:r>
        <w:t xml:space="preserve">разработан в соответствии с </w:t>
      </w:r>
      <w:hyperlink r:id="rId17" w:history="1">
        <w:r>
          <w:t>Федеральным законом</w:t>
        </w:r>
      </w:hyperlink>
      <w:r>
        <w:t xml:space="preserve"> "О гражданской обороне" и определяет правила создания в мирное время, период мобилизации и военное время на территории Российской Федера</w:t>
      </w:r>
      <w:r>
        <w:t>ции убежищ и иных объектов гражданской обороны.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" w:name="anchor2"/>
    <w:bookmarkEnd w:id="6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18 июля 2015 г. N 737 пункт 2 изложен в новой редакции</w:t>
      </w:r>
    </w:p>
    <w:p w:rsidR="00D8223B" w:rsidRDefault="00650A60">
      <w:pPr>
        <w:pStyle w:val="a8"/>
      </w:pPr>
      <w:hyperlink r:id="rId18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2. К объектам гражданской обороны относятся:</w:t>
      </w:r>
    </w:p>
    <w:p w:rsidR="00D8223B" w:rsidRDefault="00650A60">
      <w:pPr>
        <w:pStyle w:val="a3"/>
      </w:pPr>
      <w:bookmarkStart w:id="7" w:name="anchor201"/>
      <w:bookmarkEnd w:id="7"/>
      <w:r>
        <w:rPr>
          <w:b/>
          <w:color w:val="26282F"/>
        </w:rPr>
        <w:t>убежище</w:t>
      </w:r>
      <w:r>
        <w:t xml:space="preserve"> - защитное сооружение гражданской обороны, предназначенное для защиты укрываемых в течение нормативного</w:t>
      </w:r>
      <w:r>
        <w:t xml:space="preserve">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</w:t>
      </w:r>
      <w:r>
        <w:t>сных объектах, а также от высоких температур и продуктов горения при пожарах;</w:t>
      </w:r>
    </w:p>
    <w:p w:rsidR="00D8223B" w:rsidRDefault="00650A60">
      <w:pPr>
        <w:pStyle w:val="a3"/>
      </w:pPr>
      <w:bookmarkStart w:id="8" w:name="anchor202"/>
      <w:bookmarkEnd w:id="8"/>
      <w:r>
        <w:rPr>
          <w:b/>
          <w:color w:val="26282F"/>
        </w:rPr>
        <w:t>противорадиационное укрытие</w:t>
      </w:r>
      <w: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</w:t>
      </w:r>
      <w:r>
        <w:t>грязнении) местности и допускающее непрерывное пребывание в нем укрываемых в течение нормативного времени;</w:t>
      </w:r>
    </w:p>
    <w:p w:rsidR="00D8223B" w:rsidRDefault="00650A60">
      <w:pPr>
        <w:pStyle w:val="a3"/>
      </w:pPr>
      <w:bookmarkStart w:id="9" w:name="anchor203"/>
      <w:bookmarkEnd w:id="9"/>
      <w:r>
        <w:rPr>
          <w:b/>
          <w:color w:val="26282F"/>
        </w:rPr>
        <w:lastRenderedPageBreak/>
        <w:t>укрытие</w:t>
      </w:r>
      <w: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</w:t>
      </w:r>
      <w:r>
        <w:t>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D8223B" w:rsidRDefault="00650A60">
      <w:pPr>
        <w:pStyle w:val="a3"/>
      </w:pPr>
      <w:bookmarkStart w:id="10" w:name="anchor204"/>
      <w:bookmarkEnd w:id="10"/>
      <w:r>
        <w:rPr>
          <w:b/>
          <w:color w:val="26282F"/>
        </w:rPr>
        <w:t>специализированное складское помещение (место хранения)</w:t>
      </w:r>
      <w:r>
        <w:t xml:space="preserve"> - помещение, предназначенное для хранения размещенного в нем имущ</w:t>
      </w:r>
      <w:r>
        <w:t>ества гражданской обороны и выдачи его в установленном порядке;</w:t>
      </w:r>
    </w:p>
    <w:p w:rsidR="00D8223B" w:rsidRDefault="00650A60">
      <w:pPr>
        <w:pStyle w:val="a3"/>
      </w:pPr>
      <w:bookmarkStart w:id="11" w:name="anchor205"/>
      <w:bookmarkEnd w:id="11"/>
      <w:r>
        <w:rPr>
          <w:b/>
          <w:color w:val="26282F"/>
        </w:rPr>
        <w:t>санитарно-обмывочный пункт</w:t>
      </w:r>
      <w: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</w:t>
      </w:r>
      <w:r>
        <w:t>(загрязнения) кожных покровов, средств индивидуальной защиты, специальной и личной одежды людей;</w:t>
      </w:r>
    </w:p>
    <w:p w:rsidR="00D8223B" w:rsidRDefault="00650A60">
      <w:pPr>
        <w:pStyle w:val="a3"/>
      </w:pPr>
      <w:bookmarkStart w:id="12" w:name="anchor206"/>
      <w:bookmarkEnd w:id="12"/>
      <w:r>
        <w:rPr>
          <w:b/>
          <w:color w:val="26282F"/>
        </w:rPr>
        <w:t>станция обеззараживания одежды</w:t>
      </w:r>
      <w:r>
        <w:t xml:space="preserve"> - комплекс помещений, технических и материальных средств, предназначенных для специальной обработки одежды, обуви, а также для п</w:t>
      </w:r>
      <w:r>
        <w:t>ропитки одежды защитными составами;</w:t>
      </w:r>
    </w:p>
    <w:p w:rsidR="00D8223B" w:rsidRDefault="00650A60">
      <w:pPr>
        <w:pStyle w:val="a3"/>
      </w:pPr>
      <w:bookmarkStart w:id="13" w:name="anchor207"/>
      <w:bookmarkEnd w:id="13"/>
      <w:r>
        <w:rPr>
          <w:b/>
          <w:color w:val="26282F"/>
        </w:rPr>
        <w:t>станция обеззараживания техники</w:t>
      </w:r>
      <w: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D8223B" w:rsidRDefault="00650A60">
      <w:pPr>
        <w:pStyle w:val="a3"/>
      </w:pPr>
      <w:bookmarkStart w:id="14" w:name="anchor208"/>
      <w:bookmarkEnd w:id="14"/>
      <w:r>
        <w:rPr>
          <w:b/>
          <w:color w:val="26282F"/>
        </w:rPr>
        <w:t>иные объекты гражданской обороны</w:t>
      </w:r>
      <w:r>
        <w:t xml:space="preserve"> - объекты, предназначенн</w:t>
      </w:r>
      <w:r>
        <w:t>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</w:t>
      </w:r>
      <w:r>
        <w:rPr>
          <w:sz w:val="16"/>
        </w:rPr>
        <w:t>зменениях:</w:t>
      </w:r>
    </w:p>
    <w:p w:rsidR="00D8223B" w:rsidRDefault="00650A60">
      <w:pPr>
        <w:pStyle w:val="a8"/>
      </w:pPr>
      <w:bookmarkStart w:id="15" w:name="anchor3"/>
      <w:bookmarkEnd w:id="15"/>
      <w:r>
        <w:t xml:space="preserve">Пункт 3 изменен с 9 ноября 2019 г. - </w:t>
      </w:r>
      <w:hyperlink r:id="rId19" w:history="1">
        <w:r>
          <w:t>Постановление</w:t>
        </w:r>
      </w:hyperlink>
      <w:r>
        <w:t xml:space="preserve"> Правительства России от 30 октября 2019 г. N 1391</w:t>
      </w:r>
    </w:p>
    <w:p w:rsidR="00D8223B" w:rsidRDefault="00650A60">
      <w:pPr>
        <w:pStyle w:val="a8"/>
      </w:pPr>
      <w:hyperlink r:id="rId20" w:history="1">
        <w:r>
          <w:t>См. предыдущую редакцию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3. Убежища создаются:</w:t>
      </w:r>
    </w:p>
    <w:p w:rsidR="00D8223B" w:rsidRDefault="00650A60">
      <w:pPr>
        <w:pStyle w:val="a3"/>
      </w:pPr>
      <w:r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</w:t>
      </w:r>
      <w:r>
        <w:t>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</w:t>
      </w:r>
      <w:r>
        <w:t>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</w:t>
      </w:r>
      <w:r>
        <w:t>спортабельных больных;</w:t>
      </w:r>
    </w:p>
    <w:p w:rsidR="00D8223B" w:rsidRDefault="00650A60">
      <w:pPr>
        <w:pStyle w:val="a3"/>
      </w:pPr>
      <w:r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</w:t>
      </w:r>
      <w:r>
        <w:t>одящейся на ее территории в пределах периметра защищенной зоны.</w:t>
      </w:r>
    </w:p>
    <w:p w:rsidR="00D8223B" w:rsidRDefault="00650A60">
      <w:pPr>
        <w:pStyle w:val="a3"/>
      </w:pPr>
      <w:r>
        <w:t>Противорадиационные укрытия создаются:</w:t>
      </w:r>
    </w:p>
    <w:p w:rsidR="00D8223B" w:rsidRDefault="00650A60">
      <w:pPr>
        <w:pStyle w:val="a3"/>
      </w:pPr>
      <w: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</w:t>
      </w:r>
      <w:r>
        <w:t>ого заражения (загрязнения) за пределами территории, отнесенной к группе по гражданской обороне;</w:t>
      </w:r>
    </w:p>
    <w:p w:rsidR="00D8223B" w:rsidRDefault="00650A60">
      <w:pPr>
        <w:pStyle w:val="a3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</w:t>
      </w:r>
      <w:r>
        <w:t>ивного заражения (загрязнения).</w:t>
      </w:r>
    </w:p>
    <w:p w:rsidR="00D8223B" w:rsidRDefault="00650A60">
      <w:pPr>
        <w:pStyle w:val="a3"/>
      </w:pPr>
      <w:r>
        <w:t>Укрытия создаются:</w:t>
      </w:r>
    </w:p>
    <w:p w:rsidR="00D8223B" w:rsidRDefault="00650A60">
      <w:pPr>
        <w:pStyle w:val="a3"/>
      </w:pPr>
      <w: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</w:t>
      </w:r>
      <w:r>
        <w:t>можного радиоактивного заражения (загрязнения);</w:t>
      </w:r>
    </w:p>
    <w:p w:rsidR="00D8223B" w:rsidRDefault="00650A60">
      <w:pPr>
        <w:pStyle w:val="a3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</w:t>
      </w:r>
      <w:r>
        <w:t>ого радиоактивного заражения (загрязнения).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8223B" w:rsidRDefault="00650A60">
      <w:pPr>
        <w:pStyle w:val="a8"/>
      </w:pPr>
      <w:bookmarkStart w:id="16" w:name="anchor4"/>
      <w:bookmarkEnd w:id="16"/>
      <w:r>
        <w:t xml:space="preserve">Пункт 4 изменен с 9 ноября 2019 г. - </w:t>
      </w:r>
      <w:hyperlink r:id="rId21" w:history="1">
        <w:r>
          <w:t>Постановление</w:t>
        </w:r>
      </w:hyperlink>
      <w:r>
        <w:t xml:space="preserve"> Правительства России от 30 октября 2019 г. N 1391</w:t>
      </w:r>
    </w:p>
    <w:p w:rsidR="00D8223B" w:rsidRDefault="00650A60">
      <w:pPr>
        <w:pStyle w:val="a8"/>
      </w:pPr>
      <w:hyperlink r:id="rId22" w:history="1">
        <w:r>
          <w:t>См. предыдущую редакцию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</w:t>
      </w:r>
      <w:r>
        <w:t>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7" w:name="anchor5"/>
    <w:bookmarkEnd w:id="17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</w:t>
      </w:r>
      <w:r>
        <w:t xml:space="preserve"> РФ от 18 июля 2015 г. N 737 пункт 5 изложен в новой редакции</w:t>
      </w:r>
    </w:p>
    <w:p w:rsidR="00D8223B" w:rsidRDefault="00650A60">
      <w:pPr>
        <w:pStyle w:val="a8"/>
      </w:pPr>
      <w:hyperlink r:id="rId23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 xml:space="preserve">5. </w:t>
      </w:r>
      <w:hyperlink r:id="rId24" w:history="1">
        <w:r>
          <w:t>Специализированные складские помещения</w:t>
        </w:r>
      </w:hyperlink>
      <w:r>
        <w:t xml:space="preserve"> (места хра</w:t>
      </w:r>
      <w:r>
        <w:t>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8" w:name="anchor6"/>
    <w:bookmarkEnd w:id="18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18 июля 2015 г. N 737 пункт 6 изложен в новой редакции</w:t>
      </w:r>
    </w:p>
    <w:p w:rsidR="00D8223B" w:rsidRDefault="00650A60">
      <w:pPr>
        <w:pStyle w:val="a8"/>
      </w:pPr>
      <w:hyperlink r:id="rId25" w:history="1">
        <w:r>
          <w:t xml:space="preserve">См. текст пункта </w:t>
        </w:r>
        <w:r>
          <w:t>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 xml:space="preserve">6. </w:t>
      </w:r>
      <w:hyperlink r:id="rId26" w:history="1">
        <w:r>
          <w:t>Санитарно-обмывочные пункты</w:t>
        </w:r>
      </w:hyperlink>
      <w:r>
        <w:t xml:space="preserve">, </w:t>
      </w:r>
      <w:hyperlink r:id="rId27" w:history="1">
        <w:r>
          <w:t>станции обеззараживания одежды</w:t>
        </w:r>
      </w:hyperlink>
      <w:r>
        <w:t xml:space="preserve"> и техники и иные объекты гражданской обороны создаются для обеспечения радиационной, химической, биологической и м</w:t>
      </w:r>
      <w:r>
        <w:t>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D8223B" w:rsidRDefault="00650A60">
      <w:pPr>
        <w:pStyle w:val="a5"/>
      </w:pPr>
      <w:r>
        <w:t>О приспособлении объектов коммунально-бытового наз</w:t>
      </w:r>
      <w:r>
        <w:t xml:space="preserve">начения для санитарной обработки людей, специальной обработки одежды и подвижного состава автотранспорта см. </w:t>
      </w:r>
      <w:hyperlink r:id="rId28" w:history="1">
        <w:r>
          <w:t>СНиП 2.01.57-85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9" w:name="anchor1007"/>
    <w:bookmarkEnd w:id="19"/>
    <w:p w:rsidR="00D8223B" w:rsidRDefault="00650A60">
      <w:pPr>
        <w:pStyle w:val="a8"/>
      </w:pPr>
      <w:r>
        <w:fldChar w:fldCharType="begin"/>
      </w:r>
      <w:r>
        <w:instrText xml:space="preserve"> HYPERLINK  "http://sps.rkomi</w:instrText>
      </w:r>
      <w:r>
        <w:instrText xml:space="preserve">.local:8082/document/redirect/71143842/1002"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18 июля 2015 г. N 737 в пункт 7 внесены изменения</w:t>
      </w:r>
    </w:p>
    <w:p w:rsidR="00D8223B" w:rsidRDefault="00650A60">
      <w:pPr>
        <w:pStyle w:val="a8"/>
      </w:pPr>
      <w:hyperlink r:id="rId29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7. Созда</w:t>
      </w:r>
      <w:r>
        <w:t>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</w:t>
      </w:r>
      <w:r>
        <w:t>ации по делам гражданской обороны, чрезвычайным ситуациям и ликвидации последствий стихийных бедствий.</w:t>
      </w:r>
    </w:p>
    <w:p w:rsidR="00D8223B" w:rsidRDefault="00650A60">
      <w:pPr>
        <w:pStyle w:val="a3"/>
      </w:pPr>
      <w:bookmarkStart w:id="20" w:name="anchor8"/>
      <w:bookmarkEnd w:id="20"/>
      <w:r>
        <w:t>8. Федеральные органы исполнительной власти:</w:t>
      </w:r>
    </w:p>
    <w:p w:rsidR="00D8223B" w:rsidRDefault="00650A60">
      <w:pPr>
        <w:pStyle w:val="a3"/>
      </w:pPr>
      <w:r>
        <w:t>по согласованию с органами исполнительной власти субъектов Российской Федерации определяют общую потребность</w:t>
      </w:r>
      <w:r>
        <w:t xml:space="preserve"> в объектах гражданской обороны для организаций, находящихся в сфере их ведения;</w:t>
      </w:r>
    </w:p>
    <w:p w:rsidR="00D8223B" w:rsidRDefault="00650A60">
      <w:pPr>
        <w:pStyle w:val="a3"/>
      </w:pPr>
      <w:r>
        <w:t>организуют создание объектов гражданской обороны;</w:t>
      </w:r>
    </w:p>
    <w:p w:rsidR="00D8223B" w:rsidRDefault="00650A60">
      <w:pPr>
        <w:pStyle w:val="a3"/>
      </w:pPr>
      <w:r>
        <w:t>принимают в пределах своей компетенции нормативные акты по созданию объектов гражданской обороны, доводят их требования до св</w:t>
      </w:r>
      <w:r>
        <w:t>едения указанных организаций и контролируют их выполнение;</w:t>
      </w:r>
    </w:p>
    <w:p w:rsidR="00D8223B" w:rsidRDefault="00650A60">
      <w:pPr>
        <w:pStyle w:val="a3"/>
      </w:pPr>
      <w: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D8223B" w:rsidRDefault="00650A60">
      <w:pPr>
        <w:pStyle w:val="a3"/>
      </w:pPr>
      <w:r>
        <w:t>ведут учет существующих и создаваемых объектов гражданской оборо</w:t>
      </w:r>
      <w:r>
        <w:t>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1" w:name="anchor9"/>
    <w:bookmarkEnd w:id="21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"http://sps.rkomi.local:8082/document/redirect/71143842/1003"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18 июля 2015 г. N 737 в пункт 9 внесены изменения</w:t>
      </w:r>
    </w:p>
    <w:p w:rsidR="00D8223B" w:rsidRDefault="00650A60">
      <w:pPr>
        <w:pStyle w:val="a8"/>
      </w:pPr>
      <w:hyperlink r:id="rId30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D8223B" w:rsidRDefault="00650A60">
      <w:pPr>
        <w:pStyle w:val="a3"/>
      </w:pPr>
      <w:r>
        <w:t>определяют об</w:t>
      </w:r>
      <w:r>
        <w:t>щую потребность в объектах гражданской обороны;</w:t>
      </w:r>
    </w:p>
    <w:p w:rsidR="00D8223B" w:rsidRDefault="00650A60">
      <w:pPr>
        <w:pStyle w:val="a3"/>
      </w:pPr>
      <w:bookmarkStart w:id="22" w:name="anchor1008"/>
      <w:bookmarkEnd w:id="22"/>
      <w:r>
        <w:lastRenderedPageBreak/>
        <w:t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D8223B" w:rsidRDefault="00650A60">
      <w:pPr>
        <w:pStyle w:val="a3"/>
      </w:pPr>
      <w:r>
        <w:t xml:space="preserve">осуществляют контроль за созданием объектов гражданской обороны </w:t>
      </w:r>
      <w:r>
        <w:t>и поддержанием их в состоянии постоянной готовности к использованию;</w:t>
      </w:r>
    </w:p>
    <w:p w:rsidR="00D8223B" w:rsidRDefault="00650A60">
      <w:pPr>
        <w:pStyle w:val="a3"/>
      </w:pPr>
      <w:r>
        <w:t>ведут учет существующих и создаваемых объектов гражданской обороны.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8223B" w:rsidRDefault="00650A60">
      <w:pPr>
        <w:pStyle w:val="a8"/>
      </w:pPr>
      <w:bookmarkStart w:id="23" w:name="anchor10"/>
      <w:bookmarkEnd w:id="23"/>
      <w:r>
        <w:t xml:space="preserve">Пункт 10 изменен с 9 ноября 2019 г. - </w:t>
      </w:r>
      <w:hyperlink r:id="rId31" w:history="1">
        <w:r>
          <w:t>Постановление</w:t>
        </w:r>
      </w:hyperlink>
      <w:r>
        <w:t xml:space="preserve"> Правительства России от 30 октября 2019 г. N 1391</w:t>
      </w:r>
    </w:p>
    <w:p w:rsidR="00D8223B" w:rsidRDefault="00650A60">
      <w:pPr>
        <w:pStyle w:val="a8"/>
      </w:pPr>
      <w:hyperlink r:id="rId32" w:history="1">
        <w:r>
          <w:t>См. предыдущую редакцию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10. Организации:</w:t>
      </w:r>
    </w:p>
    <w:p w:rsidR="00D8223B" w:rsidRDefault="00650A60">
      <w:pPr>
        <w:pStyle w:val="a3"/>
      </w:pPr>
      <w:bookmarkStart w:id="24" w:name="anchor1002"/>
      <w:bookmarkEnd w:id="24"/>
      <w:r>
        <w:t>создают в мирное время по согласованию с федеральным</w:t>
      </w:r>
      <w:r>
        <w:t>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D8223B" w:rsidRDefault="00650A60">
      <w:pPr>
        <w:pStyle w:val="a3"/>
      </w:pPr>
      <w:bookmarkStart w:id="25" w:name="anchor1009"/>
      <w:bookmarkEnd w:id="25"/>
      <w:r>
        <w:t>обеспечивают сохранность существующих объектов гражданск</w:t>
      </w:r>
      <w:r>
        <w:t>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D8223B" w:rsidRDefault="00650A60">
      <w:pPr>
        <w:pStyle w:val="a3"/>
      </w:pPr>
      <w:bookmarkStart w:id="26" w:name="anchor1004"/>
      <w:bookmarkEnd w:id="26"/>
      <w:r>
        <w:t xml:space="preserve">ведут учет существующих и создаваемых объектов </w:t>
      </w:r>
      <w:r>
        <w:t>гражданской обороны.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7" w:name="anchor11"/>
    <w:bookmarkEnd w:id="27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"http://sps.rkomi.local:8082/document/redirect/71143842/1005"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18 июля 2015 г. N 737 пункт 11 изложен в новой редакции</w:t>
      </w:r>
    </w:p>
    <w:p w:rsidR="00D8223B" w:rsidRDefault="00650A60">
      <w:pPr>
        <w:pStyle w:val="a8"/>
      </w:pPr>
      <w:hyperlink r:id="rId33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</w:t>
      </w:r>
      <w:r>
        <w:t>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8" w:name="anchor12"/>
    <w:bookmarkEnd w:id="28"/>
    <w:p w:rsidR="00D8223B" w:rsidRDefault="00650A60">
      <w:pPr>
        <w:pStyle w:val="a8"/>
      </w:pPr>
      <w:r>
        <w:fldChar w:fldCharType="begin"/>
      </w:r>
      <w:r>
        <w:instrText xml:space="preserve"> HYPERLINK  "http://sps.rkomi.local:8082/document/redirect/71143842/1006"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</w:t>
      </w:r>
      <w:r>
        <w:t xml:space="preserve"> РФ от 18 июля 2015 г. N 737 в пункт 12 внесены изменения</w:t>
      </w:r>
    </w:p>
    <w:p w:rsidR="00D8223B" w:rsidRDefault="00650A60">
      <w:pPr>
        <w:pStyle w:val="a8"/>
      </w:pPr>
      <w:hyperlink r:id="rId34" w:history="1">
        <w:r>
          <w:t>См. текст пункта в предыдущей редакции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12. Создание объектов гражданской обороны осуществляется за счет приспособления сущ</w:t>
      </w:r>
      <w:r>
        <w:t>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</w:t>
      </w:r>
      <w:r>
        <w:t>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D8223B" w:rsidRDefault="00650A60">
      <w:pPr>
        <w:pStyle w:val="a3"/>
      </w:pPr>
      <w:bookmarkStart w:id="29" w:name="anchor13"/>
      <w:bookmarkEnd w:id="29"/>
      <w:r>
        <w:t xml:space="preserve">13. В мирное время объекты гражданской обороны в установленном порядке могут использоваться в интересах </w:t>
      </w:r>
      <w:r>
        <w:t>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</w:t>
      </w:r>
      <w:r>
        <w:t xml:space="preserve"> по назначению.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8223B" w:rsidRDefault="00650A60">
      <w:pPr>
        <w:pStyle w:val="a8"/>
      </w:pPr>
      <w:bookmarkStart w:id="30" w:name="anchor14"/>
      <w:bookmarkEnd w:id="30"/>
      <w:r>
        <w:t xml:space="preserve">Пункт 14 изменен с 9 ноября 2019 г. - </w:t>
      </w:r>
      <w:hyperlink r:id="rId35" w:history="1">
        <w:r>
          <w:t>Постановление</w:t>
        </w:r>
      </w:hyperlink>
      <w:r>
        <w:t xml:space="preserve"> Правительства России от 30 октября 2019 г. N 1391</w:t>
      </w:r>
    </w:p>
    <w:p w:rsidR="00D8223B" w:rsidRDefault="00650A60">
      <w:pPr>
        <w:pStyle w:val="a8"/>
      </w:pPr>
      <w:hyperlink r:id="rId36" w:history="1">
        <w:r>
          <w:t>См. предыдущую редакцию</w:t>
        </w:r>
      </w:hyperlink>
    </w:p>
    <w:p w:rsidR="00000000" w:rsidRDefault="00650A6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D8223B" w:rsidRDefault="00650A60">
      <w:pPr>
        <w:pStyle w:val="a3"/>
      </w:pPr>
      <w:bookmarkStart w:id="31" w:name="anchor1402"/>
      <w:bookmarkEnd w:id="31"/>
      <w:r>
        <w:t>принимает в пределах своей компетенции нормативные пр</w:t>
      </w:r>
      <w:r>
        <w:t>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D8223B" w:rsidRDefault="00650A60">
      <w:pPr>
        <w:pStyle w:val="a5"/>
      </w:pPr>
      <w:r>
        <w:t xml:space="preserve">См. </w:t>
      </w:r>
      <w:hyperlink r:id="rId37" w:history="1">
        <w:r>
          <w:t>методические рекомендации</w:t>
        </w:r>
      </w:hyperlink>
      <w:r>
        <w:t xml:space="preserve"> по организации перевода убежищ (противорадиационных укрытий) на эксплуатацию в качестве противорадиационных укрытий или укрытий с учетом </w:t>
      </w:r>
      <w:r>
        <w:lastRenderedPageBreak/>
        <w:t>оптимизации норм инженерно-технических мероприятий, утвержденные. МЧ</w:t>
      </w:r>
      <w:r>
        <w:t>С России 30 декабря 2020 г. N 2-4-71-38-11</w:t>
      </w:r>
    </w:p>
    <w:p w:rsidR="00000000" w:rsidRDefault="00650A6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8223B" w:rsidRDefault="00650A60">
      <w:pPr>
        <w:pStyle w:val="a3"/>
      </w:pPr>
      <w:r>
        <w:lastRenderedPageBreak/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D8223B" w:rsidRDefault="00650A60">
      <w:pPr>
        <w:pStyle w:val="a3"/>
      </w:pPr>
      <w:r>
        <w:t>организует согласование типовых и индивидуальных проектов объект</w:t>
      </w:r>
      <w:r>
        <w:t>ов гражданской обороны;</w:t>
      </w:r>
    </w:p>
    <w:p w:rsidR="00D8223B" w:rsidRDefault="00650A60">
      <w:pPr>
        <w:pStyle w:val="a3"/>
      </w:pPr>
      <w:r>
        <w:t>организует учет существующих и создаваемых объектов гражданской обороны;</w:t>
      </w:r>
    </w:p>
    <w:p w:rsidR="00D8223B" w:rsidRDefault="00650A60">
      <w:pPr>
        <w:pStyle w:val="a3"/>
      </w:pPr>
      <w:r>
        <w:t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 w:rsidR="00D8223B" w:rsidRDefault="00D8223B">
      <w:pPr>
        <w:pStyle w:val="a3"/>
      </w:pPr>
    </w:p>
    <w:sectPr w:rsidR="00D8223B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0A60">
      <w:r>
        <w:separator/>
      </w:r>
    </w:p>
  </w:endnote>
  <w:endnote w:type="continuationSeparator" w:id="0">
    <w:p w:rsidR="00000000" w:rsidRDefault="0065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840B9A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0B9A" w:rsidRDefault="00650A6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0B9A" w:rsidRDefault="00650A6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0B9A" w:rsidRDefault="00650A6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0A60">
      <w:r>
        <w:rPr>
          <w:color w:val="000000"/>
        </w:rPr>
        <w:separator/>
      </w:r>
    </w:p>
  </w:footnote>
  <w:footnote w:type="continuationSeparator" w:id="0">
    <w:p w:rsidR="00000000" w:rsidRDefault="0065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9A" w:rsidRDefault="00650A60">
    <w:pPr>
      <w:pStyle w:val="Standard"/>
      <w:ind w:firstLine="0"/>
      <w:jc w:val="left"/>
    </w:pPr>
    <w:r>
      <w:t>Постановление Правительства РФ от 29 ноября 1999 г. N 1309 "О порядке создания убежищ и иных объе...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223B"/>
    <w:rsid w:val="00650A60"/>
    <w:rsid w:val="00D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424B4-A4B3-4978-9D8D-6366A17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s.rkomi.local:8082/document/redirect/185647/100000" TargetMode="External"/><Relationship Id="rId18" Type="http://schemas.openxmlformats.org/officeDocument/2006/relationships/hyperlink" Target="http://sps.rkomi.local:8082/document/redirect/57508246/2" TargetMode="External"/><Relationship Id="rId26" Type="http://schemas.openxmlformats.org/officeDocument/2006/relationships/hyperlink" Target="#anchor20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ps.rkomi.local:8082/document/redirect/72945272/1001" TargetMode="External"/><Relationship Id="rId34" Type="http://schemas.openxmlformats.org/officeDocument/2006/relationships/hyperlink" Target="http://sps.rkomi.local:8082/document/redirect/57508246/12" TargetMode="External"/><Relationship Id="rId7" Type="http://schemas.openxmlformats.org/officeDocument/2006/relationships/footer" Target="footer1.xml"/><Relationship Id="rId12" Type="http://schemas.openxmlformats.org/officeDocument/2006/relationships/hyperlink" Target="http://sps.rkomi.local:8082/document/redirect/188645/0" TargetMode="External"/><Relationship Id="rId17" Type="http://schemas.openxmlformats.org/officeDocument/2006/relationships/hyperlink" Target="http://sps.rkomi.local:8082/document/redirect/178160/6" TargetMode="External"/><Relationship Id="rId25" Type="http://schemas.openxmlformats.org/officeDocument/2006/relationships/hyperlink" Target="http://sps.rkomi.local:8082/document/redirect/57508246/6" TargetMode="External"/><Relationship Id="rId33" Type="http://schemas.openxmlformats.org/officeDocument/2006/relationships/hyperlink" Target="http://sps.rkomi.local:8082/document/redirect/57508246/1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2324988/1" TargetMode="External"/><Relationship Id="rId20" Type="http://schemas.openxmlformats.org/officeDocument/2006/relationships/hyperlink" Target="http://sps.rkomi.local:8082/document/redirect/77685866/3" TargetMode="External"/><Relationship Id="rId29" Type="http://schemas.openxmlformats.org/officeDocument/2006/relationships/hyperlink" Target="http://sps.rkomi.local:8082/document/redirect/57508246/1007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sps.rkomi.local:8082/document/redirect/188645/1000" TargetMode="External"/><Relationship Id="rId24" Type="http://schemas.openxmlformats.org/officeDocument/2006/relationships/hyperlink" Target="#anchor204" TargetMode="External"/><Relationship Id="rId32" Type="http://schemas.openxmlformats.org/officeDocument/2006/relationships/hyperlink" Target="http://sps.rkomi.local:8082/document/redirect/77685866/10" TargetMode="External"/><Relationship Id="rId37" Type="http://schemas.openxmlformats.org/officeDocument/2006/relationships/hyperlink" Target="http://sps.rkomi.local:8082/document/redirect/400760489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ps.rkomi.local:8082/document/redirect/3923466/0" TargetMode="External"/><Relationship Id="rId23" Type="http://schemas.openxmlformats.org/officeDocument/2006/relationships/hyperlink" Target="http://sps.rkomi.local:8082/document/redirect/57508246/5" TargetMode="External"/><Relationship Id="rId28" Type="http://schemas.openxmlformats.org/officeDocument/2006/relationships/hyperlink" Target="http://sps.rkomi.local:8082/document/redirect/3923471/0" TargetMode="External"/><Relationship Id="rId36" Type="http://schemas.openxmlformats.org/officeDocument/2006/relationships/hyperlink" Target="http://sps.rkomi.local:8082/document/redirect/77685866/14" TargetMode="External"/><Relationship Id="rId10" Type="http://schemas.openxmlformats.org/officeDocument/2006/relationships/hyperlink" Target="#anchor0" TargetMode="External"/><Relationship Id="rId19" Type="http://schemas.openxmlformats.org/officeDocument/2006/relationships/hyperlink" Target="http://sps.rkomi.local:8082/document/redirect/72945272/1001" TargetMode="External"/><Relationship Id="rId31" Type="http://schemas.openxmlformats.org/officeDocument/2006/relationships/hyperlink" Target="http://sps.rkomi.local:8082/document/redirect/72945272/1002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4" Type="http://schemas.openxmlformats.org/officeDocument/2006/relationships/hyperlink" Target="http://sps.rkomi.local:8082/document/redirect/185647/0" TargetMode="External"/><Relationship Id="rId22" Type="http://schemas.openxmlformats.org/officeDocument/2006/relationships/hyperlink" Target="http://sps.rkomi.local:8082/document/redirect/77685866/4" TargetMode="External"/><Relationship Id="rId27" Type="http://schemas.openxmlformats.org/officeDocument/2006/relationships/hyperlink" Target="#anchor206" TargetMode="External"/><Relationship Id="rId30" Type="http://schemas.openxmlformats.org/officeDocument/2006/relationships/hyperlink" Target="http://sps.rkomi.local:8082/document/redirect/57508246/1009" TargetMode="External"/><Relationship Id="rId35" Type="http://schemas.openxmlformats.org/officeDocument/2006/relationships/hyperlink" Target="http://sps.rkomi.local:8082/document/redirect/72945272/10003" TargetMode="External"/><Relationship Id="rId8" Type="http://schemas.openxmlformats.org/officeDocument/2006/relationships/hyperlink" Target="http://sps.rkomi.local:8082/document/redirect/178160/6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2022-03-29T15:03:00Z</dcterms:created>
  <dcterms:modified xsi:type="dcterms:W3CDTF">2022-03-29T15:03:00Z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